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010E" w:rsidRPr="00FE7EC8" w:rsidRDefault="00F851D3" w:rsidP="00694FBF">
      <w:pPr>
        <w:spacing w:after="120" w:line="276" w:lineRule="auto"/>
        <w:jc w:val="center"/>
        <w:rPr>
          <w:rFonts w:ascii="Book Antiqua" w:hAnsi="Book Antiqua"/>
          <w:b/>
          <w:sz w:val="30"/>
          <w:szCs w:val="30"/>
        </w:rPr>
      </w:pPr>
      <w:r w:rsidRPr="00FE7EC8">
        <w:rPr>
          <w:rFonts w:ascii="Book Antiqua" w:hAnsi="Book Antiqua"/>
          <w:b/>
          <w:sz w:val="30"/>
          <w:szCs w:val="30"/>
        </w:rPr>
        <w:t>Health Expenditures and Child Mortality: Evidence from Kenya</w:t>
      </w:r>
      <w:r w:rsidR="005C22A6" w:rsidRPr="00FE7EC8">
        <w:rPr>
          <w:rStyle w:val="FootnoteReference"/>
          <w:rFonts w:ascii="Book Antiqua" w:hAnsi="Book Antiqua"/>
          <w:b/>
          <w:sz w:val="30"/>
          <w:szCs w:val="30"/>
        </w:rPr>
        <w:footnoteReference w:id="1"/>
      </w:r>
    </w:p>
    <w:p w:rsidR="00B7010E" w:rsidRPr="00C200FA" w:rsidRDefault="00B7010E" w:rsidP="00D65631">
      <w:pPr>
        <w:spacing w:after="120" w:line="276" w:lineRule="auto"/>
        <w:jc w:val="both"/>
        <w:rPr>
          <w:rFonts w:ascii="Book Antiqua" w:hAnsi="Book Antiqua"/>
        </w:rPr>
      </w:pPr>
    </w:p>
    <w:p w:rsidR="00B7010E" w:rsidRPr="00202CB7" w:rsidRDefault="00855FDD" w:rsidP="00237FAF">
      <w:pPr>
        <w:spacing w:after="120" w:line="276" w:lineRule="auto"/>
        <w:jc w:val="center"/>
        <w:rPr>
          <w:rFonts w:ascii="Book Antiqua" w:hAnsi="Book Antiqua"/>
          <w:b/>
        </w:rPr>
      </w:pPr>
      <w:r w:rsidRPr="00202CB7">
        <w:rPr>
          <w:rFonts w:ascii="Book Antiqua" w:hAnsi="Book Antiqua"/>
          <w:b/>
        </w:rPr>
        <w:t>Abstract</w:t>
      </w:r>
    </w:p>
    <w:p w:rsidR="00390A09" w:rsidRPr="00390A09" w:rsidRDefault="00390A09" w:rsidP="00716AF2">
      <w:pPr>
        <w:spacing w:after="120" w:line="276" w:lineRule="auto"/>
        <w:jc w:val="both"/>
        <w:rPr>
          <w:rFonts w:ascii="Book Antiqua" w:hAnsi="Book Antiqua"/>
        </w:rPr>
      </w:pPr>
      <w:r w:rsidRPr="00202CB7">
        <w:rPr>
          <w:rFonts w:ascii="Book Antiqua" w:hAnsi="Book Antiqua"/>
          <w:b/>
        </w:rPr>
        <w:t>Aim</w:t>
      </w:r>
      <w:r>
        <w:rPr>
          <w:rFonts w:ascii="Book Antiqua" w:hAnsi="Book Antiqua"/>
        </w:rPr>
        <w:t xml:space="preserve">: </w:t>
      </w:r>
      <w:r w:rsidR="00264071" w:rsidRPr="00716AF2">
        <w:rPr>
          <w:rFonts w:ascii="Book Antiqua" w:hAnsi="Book Antiqua"/>
        </w:rPr>
        <w:t>Th</w:t>
      </w:r>
      <w:r>
        <w:rPr>
          <w:rFonts w:ascii="Book Antiqua" w:hAnsi="Book Antiqua"/>
        </w:rPr>
        <w:t>e aim of th</w:t>
      </w:r>
      <w:r w:rsidR="00264071" w:rsidRPr="00716AF2">
        <w:rPr>
          <w:rFonts w:ascii="Book Antiqua" w:hAnsi="Book Antiqua"/>
        </w:rPr>
        <w:t xml:space="preserve">is study </w:t>
      </w:r>
      <w:r>
        <w:rPr>
          <w:rFonts w:ascii="Book Antiqua" w:hAnsi="Book Antiqua"/>
        </w:rPr>
        <w:t xml:space="preserve">was to </w:t>
      </w:r>
      <w:r w:rsidR="00264071" w:rsidRPr="00716AF2">
        <w:rPr>
          <w:rFonts w:ascii="Book Antiqua" w:hAnsi="Book Antiqua"/>
        </w:rPr>
        <w:t>analyze the effect of health expenditures on child health.</w:t>
      </w:r>
    </w:p>
    <w:p w:rsidR="00390A09" w:rsidRDefault="00390A09" w:rsidP="00716AF2">
      <w:pPr>
        <w:spacing w:after="120" w:line="276" w:lineRule="auto"/>
        <w:jc w:val="both"/>
        <w:rPr>
          <w:rFonts w:ascii="Book Antiqua" w:hAnsi="Book Antiqua"/>
        </w:rPr>
      </w:pPr>
      <w:r w:rsidRPr="00202CB7">
        <w:rPr>
          <w:rFonts w:ascii="Book Antiqua" w:hAnsi="Book Antiqua"/>
          <w:b/>
        </w:rPr>
        <w:t>Specific Objectives</w:t>
      </w:r>
      <w:r>
        <w:rPr>
          <w:rFonts w:ascii="Book Antiqua" w:hAnsi="Book Antiqua"/>
        </w:rPr>
        <w:t>: To analyze the: (</w:t>
      </w:r>
      <w:proofErr w:type="spellStart"/>
      <w:r>
        <w:rPr>
          <w:rFonts w:ascii="Book Antiqua" w:hAnsi="Book Antiqua"/>
        </w:rPr>
        <w:t>i</w:t>
      </w:r>
      <w:proofErr w:type="spellEnd"/>
      <w:r>
        <w:rPr>
          <w:rFonts w:ascii="Book Antiqua" w:hAnsi="Book Antiqua"/>
        </w:rPr>
        <w:t xml:space="preserve">) </w:t>
      </w:r>
      <w:r w:rsidR="00264071" w:rsidRPr="00716AF2">
        <w:rPr>
          <w:rFonts w:ascii="Book Antiqua" w:hAnsi="Book Antiqua"/>
        </w:rPr>
        <w:t xml:space="preserve">impact of household and government health expenditures on child health outcomes; </w:t>
      </w:r>
      <w:r>
        <w:rPr>
          <w:rFonts w:ascii="Book Antiqua" w:hAnsi="Book Antiqua"/>
        </w:rPr>
        <w:t xml:space="preserve">(ii) </w:t>
      </w:r>
      <w:r w:rsidR="00264071" w:rsidRPr="00716AF2">
        <w:rPr>
          <w:rFonts w:ascii="Book Antiqua" w:hAnsi="Book Antiqua"/>
        </w:rPr>
        <w:t xml:space="preserve">joint impacts of household and government health expenditure on child health; and </w:t>
      </w:r>
      <w:r>
        <w:rPr>
          <w:rFonts w:ascii="Book Antiqua" w:hAnsi="Book Antiqua"/>
        </w:rPr>
        <w:t xml:space="preserve">(iii) </w:t>
      </w:r>
      <w:r w:rsidR="00264071" w:rsidRPr="00716AF2">
        <w:rPr>
          <w:rFonts w:ascii="Book Antiqua" w:hAnsi="Book Antiqua"/>
        </w:rPr>
        <w:t xml:space="preserve">impacts of demographic and human capital variables on child health. </w:t>
      </w:r>
    </w:p>
    <w:p w:rsidR="00273516" w:rsidRPr="00C200FA" w:rsidRDefault="00390A09" w:rsidP="00D23111">
      <w:pPr>
        <w:spacing w:after="120" w:line="276" w:lineRule="auto"/>
        <w:jc w:val="both"/>
        <w:rPr>
          <w:rFonts w:ascii="Book Antiqua" w:hAnsi="Book Antiqua"/>
        </w:rPr>
      </w:pPr>
      <w:r w:rsidRPr="00F21E64">
        <w:rPr>
          <w:rFonts w:ascii="Book Antiqua" w:hAnsi="Book Antiqua"/>
          <w:b/>
          <w:lang w:val="en-GB"/>
        </w:rPr>
        <w:t>Methodology</w:t>
      </w:r>
      <w:r>
        <w:rPr>
          <w:rFonts w:ascii="Book Antiqua" w:hAnsi="Book Antiqua"/>
          <w:lang w:val="en-GB"/>
        </w:rPr>
        <w:t xml:space="preserve">: </w:t>
      </w:r>
      <w:r w:rsidRPr="00D23111">
        <w:rPr>
          <w:rFonts w:ascii="Book Antiqua" w:hAnsi="Book Antiqua"/>
        </w:rPr>
        <w:t>Th</w:t>
      </w:r>
      <w:r w:rsidRPr="00DC664F">
        <w:rPr>
          <w:rFonts w:ascii="Book Antiqua" w:hAnsi="Book Antiqua"/>
        </w:rPr>
        <w:t xml:space="preserve">is study </w:t>
      </w:r>
      <w:r w:rsidR="00202CB7">
        <w:rPr>
          <w:rFonts w:ascii="Book Antiqua" w:hAnsi="Book Antiqua"/>
        </w:rPr>
        <w:t xml:space="preserve">estimated </w:t>
      </w:r>
      <w:r w:rsidR="00202CB7" w:rsidRPr="00DC664F">
        <w:rPr>
          <w:rFonts w:ascii="Book Antiqua" w:hAnsi="Book Antiqua"/>
        </w:rPr>
        <w:t>own</w:t>
      </w:r>
      <w:r w:rsidRPr="00DC664F">
        <w:rPr>
          <w:rFonts w:ascii="Book Antiqua" w:hAnsi="Book Antiqua"/>
        </w:rPr>
        <w:t xml:space="preserve"> and joint effects of public and private health expenditures on child deaths in Kenya using household data</w:t>
      </w:r>
      <w:r w:rsidRPr="00D23111">
        <w:rPr>
          <w:rFonts w:ascii="Book Antiqua" w:hAnsi="Book Antiqua"/>
        </w:rPr>
        <w:t xml:space="preserve">. </w:t>
      </w:r>
      <w:r>
        <w:rPr>
          <w:rFonts w:ascii="Book Antiqua" w:hAnsi="Book Antiqua"/>
        </w:rPr>
        <w:t>S</w:t>
      </w:r>
      <w:r w:rsidRPr="00D23111">
        <w:rPr>
          <w:rFonts w:ascii="Book Antiqua" w:hAnsi="Book Antiqua"/>
        </w:rPr>
        <w:t>tructural-form linear probability models of neonatal, infant, and child mortality are estimated</w:t>
      </w:r>
      <w:r w:rsidRPr="00410B5C">
        <w:rPr>
          <w:rFonts w:ascii="Book Antiqua" w:hAnsi="Book Antiqua"/>
        </w:rPr>
        <w:t>.</w:t>
      </w:r>
      <w:r>
        <w:rPr>
          <w:rFonts w:ascii="Book Antiqua" w:hAnsi="Book Antiqua"/>
        </w:rPr>
        <w:t xml:space="preserve"> The </w:t>
      </w:r>
      <w:r w:rsidR="00A42122" w:rsidRPr="00C200FA">
        <w:rPr>
          <w:rFonts w:ascii="Book Antiqua" w:hAnsi="Book Antiqua"/>
          <w:lang w:val="en-GB"/>
        </w:rPr>
        <w:t>Control Function Approach</w:t>
      </w:r>
      <w:r>
        <w:rPr>
          <w:rFonts w:ascii="Book Antiqua" w:hAnsi="Book Antiqua"/>
          <w:lang w:val="en-GB"/>
        </w:rPr>
        <w:t xml:space="preserve"> was used </w:t>
      </w:r>
      <w:r w:rsidR="00273516" w:rsidRPr="00C200FA">
        <w:rPr>
          <w:rFonts w:ascii="Book Antiqua" w:hAnsi="Book Antiqua"/>
          <w:lang w:val="en-GB"/>
        </w:rPr>
        <w:t xml:space="preserve">to control for endogeneity using predicted residuals and at the same time, </w:t>
      </w:r>
      <w:r>
        <w:rPr>
          <w:rFonts w:ascii="Book Antiqua" w:hAnsi="Book Antiqua"/>
          <w:lang w:val="en-GB"/>
        </w:rPr>
        <w:t xml:space="preserve">to control </w:t>
      </w:r>
      <w:r w:rsidR="00273516" w:rsidRPr="00C200FA">
        <w:rPr>
          <w:rFonts w:ascii="Book Antiqua" w:hAnsi="Book Antiqua"/>
          <w:lang w:val="en-GB"/>
        </w:rPr>
        <w:t xml:space="preserve">for heterogeneity by interacting the residuals with the endogenous variable, </w:t>
      </w:r>
      <w:r w:rsidR="004607C4" w:rsidRPr="00C200FA">
        <w:rPr>
          <w:rFonts w:ascii="Book Antiqua" w:hAnsi="Book Antiqua"/>
          <w:lang w:val="en-GB"/>
        </w:rPr>
        <w:t>household health expenditure</w:t>
      </w:r>
      <w:r w:rsidR="00273516" w:rsidRPr="00C200FA">
        <w:rPr>
          <w:rFonts w:ascii="Book Antiqua" w:hAnsi="Book Antiqua"/>
          <w:lang w:val="en-GB"/>
        </w:rPr>
        <w:t>.</w:t>
      </w:r>
      <w:r w:rsidR="00410B5C">
        <w:rPr>
          <w:rFonts w:ascii="Book Antiqua" w:hAnsi="Book Antiqua"/>
          <w:lang w:val="en-GB"/>
        </w:rPr>
        <w:t xml:space="preserve"> </w:t>
      </w:r>
      <w:r w:rsidR="00273516" w:rsidRPr="00C200FA">
        <w:rPr>
          <w:rFonts w:ascii="Book Antiqua" w:hAnsi="Book Antiqua"/>
        </w:rPr>
        <w:t xml:space="preserve">To correct for heterogeneity, we interacted the predicted residuals with private health expenditure. </w:t>
      </w:r>
    </w:p>
    <w:p w:rsidR="00D65631" w:rsidRPr="00C200FA" w:rsidRDefault="00390A09" w:rsidP="00C200FA">
      <w:pPr>
        <w:spacing w:after="120" w:line="276" w:lineRule="auto"/>
        <w:jc w:val="both"/>
        <w:rPr>
          <w:rFonts w:ascii="Book Antiqua" w:hAnsi="Book Antiqua"/>
          <w:lang w:val="en-GB"/>
        </w:rPr>
      </w:pPr>
      <w:r w:rsidRPr="00202CB7">
        <w:rPr>
          <w:rFonts w:ascii="Book Antiqua" w:hAnsi="Book Antiqua"/>
          <w:b/>
          <w:lang w:val="en-GB"/>
        </w:rPr>
        <w:t>Findings</w:t>
      </w:r>
      <w:r>
        <w:rPr>
          <w:rFonts w:ascii="Book Antiqua" w:hAnsi="Book Antiqua"/>
          <w:lang w:val="en-GB"/>
        </w:rPr>
        <w:t xml:space="preserve">: </w:t>
      </w:r>
      <w:r w:rsidR="00D65631" w:rsidRPr="00C200FA">
        <w:rPr>
          <w:rFonts w:ascii="Book Antiqua" w:hAnsi="Book Antiqua"/>
          <w:lang w:val="en-GB"/>
        </w:rPr>
        <w:t xml:space="preserve">This study </w:t>
      </w:r>
      <w:r w:rsidR="00A42122" w:rsidRPr="00C200FA">
        <w:rPr>
          <w:rFonts w:ascii="Book Antiqua" w:hAnsi="Book Antiqua"/>
          <w:lang w:val="en-GB"/>
        </w:rPr>
        <w:t xml:space="preserve">found </w:t>
      </w:r>
      <w:r w:rsidR="00D65631" w:rsidRPr="00C200FA">
        <w:rPr>
          <w:rFonts w:ascii="Book Antiqua" w:hAnsi="Book Antiqua"/>
          <w:lang w:val="en-GB"/>
        </w:rPr>
        <w:t>that</w:t>
      </w:r>
      <w:bookmarkStart w:id="0" w:name="_GoBack"/>
      <w:bookmarkEnd w:id="0"/>
      <w:r w:rsidR="00D65631" w:rsidRPr="00C200FA">
        <w:rPr>
          <w:rFonts w:ascii="Book Antiqua" w:hAnsi="Book Antiqua"/>
          <w:lang w:val="en-GB"/>
        </w:rPr>
        <w:t xml:space="preserve"> whereas independent government or household expenditure is expected to produce positive health outcomes, this can only happen if all other things </w:t>
      </w:r>
      <w:r w:rsidR="00CE5607">
        <w:rPr>
          <w:rFonts w:ascii="Book Antiqua" w:hAnsi="Book Antiqua"/>
          <w:lang w:val="en-GB"/>
        </w:rPr>
        <w:t>(</w:t>
      </w:r>
      <w:r w:rsidR="00CE5607" w:rsidRPr="00C200FA">
        <w:rPr>
          <w:rFonts w:ascii="Book Antiqua" w:hAnsi="Book Antiqua"/>
          <w:lang w:val="en-GB"/>
        </w:rPr>
        <w:t>unobservables in the residuals</w:t>
      </w:r>
      <w:r w:rsidR="00CE5607">
        <w:rPr>
          <w:rFonts w:ascii="Book Antiqua" w:hAnsi="Book Antiqua"/>
          <w:lang w:val="en-GB"/>
        </w:rPr>
        <w:t>)</w:t>
      </w:r>
      <w:r w:rsidR="00CE5607" w:rsidRPr="00C200FA">
        <w:rPr>
          <w:rFonts w:ascii="Book Antiqua" w:hAnsi="Book Antiqua"/>
          <w:lang w:val="en-GB"/>
        </w:rPr>
        <w:t xml:space="preserve"> </w:t>
      </w:r>
      <w:r w:rsidR="00D65631" w:rsidRPr="00C200FA">
        <w:rPr>
          <w:rFonts w:ascii="Book Antiqua" w:hAnsi="Book Antiqua"/>
          <w:lang w:val="en-GB"/>
        </w:rPr>
        <w:t xml:space="preserve">are held constant. This study </w:t>
      </w:r>
      <w:r>
        <w:rPr>
          <w:rFonts w:ascii="Book Antiqua" w:hAnsi="Book Antiqua"/>
          <w:lang w:val="en-GB"/>
        </w:rPr>
        <w:t xml:space="preserve">found </w:t>
      </w:r>
      <w:r w:rsidR="00D65631" w:rsidRPr="00C200FA">
        <w:rPr>
          <w:rFonts w:ascii="Book Antiqua" w:hAnsi="Book Antiqua"/>
          <w:lang w:val="en-GB"/>
        </w:rPr>
        <w:t>that holding these unobservables constant in terms of health is not practical</w:t>
      </w:r>
      <w:r w:rsidR="00CE5607">
        <w:rPr>
          <w:rFonts w:ascii="Book Antiqua" w:hAnsi="Book Antiqua"/>
          <w:lang w:val="en-GB"/>
        </w:rPr>
        <w:t xml:space="preserve">. </w:t>
      </w:r>
      <w:r w:rsidR="00D65631" w:rsidRPr="00C200FA">
        <w:rPr>
          <w:rFonts w:ascii="Book Antiqua" w:hAnsi="Book Antiqua"/>
          <w:lang w:val="en-GB"/>
        </w:rPr>
        <w:t>Thus, where we expected the government or household expenditure alone to contribute positively to hea</w:t>
      </w:r>
      <w:r w:rsidR="00CE5607">
        <w:rPr>
          <w:rFonts w:ascii="Book Antiqua" w:hAnsi="Book Antiqua"/>
          <w:lang w:val="en-GB"/>
        </w:rPr>
        <w:t xml:space="preserve">lth outcome, the unobservables </w:t>
      </w:r>
      <w:r w:rsidR="00D65631" w:rsidRPr="00C200FA">
        <w:rPr>
          <w:rFonts w:ascii="Book Antiqua" w:hAnsi="Book Antiqua"/>
          <w:lang w:val="en-GB"/>
        </w:rPr>
        <w:t>cancels the effect out.</w:t>
      </w:r>
    </w:p>
    <w:p w:rsidR="00D65631" w:rsidRPr="00C200FA" w:rsidRDefault="00D65631" w:rsidP="00C200FA">
      <w:pPr>
        <w:spacing w:after="120" w:line="276" w:lineRule="auto"/>
        <w:jc w:val="both"/>
        <w:rPr>
          <w:rFonts w:ascii="Book Antiqua" w:hAnsi="Book Antiqua"/>
          <w:lang w:val="en-GB"/>
        </w:rPr>
      </w:pPr>
      <w:r w:rsidRPr="00C200FA">
        <w:rPr>
          <w:rFonts w:ascii="Book Antiqua" w:hAnsi="Book Antiqua"/>
          <w:lang w:val="en-GB"/>
        </w:rPr>
        <w:t>Secondly, this study takes government and household health expenditure as complementary goods</w:t>
      </w:r>
      <w:r w:rsidR="00716AF2">
        <w:rPr>
          <w:rFonts w:ascii="Book Antiqua" w:hAnsi="Book Antiqua"/>
          <w:lang w:val="en-GB"/>
        </w:rPr>
        <w:t xml:space="preserve"> i.e. </w:t>
      </w:r>
      <w:r w:rsidRPr="00C200FA">
        <w:rPr>
          <w:rFonts w:ascii="Book Antiqua" w:hAnsi="Book Antiqua"/>
          <w:lang w:val="en-GB"/>
        </w:rPr>
        <w:t>both parties have to spend. To an extent, there is a minimum that the household and the government has to spend on health for a child to achieve an optimal health status. For instance, when a government offers free immunization, the household has to spend a minimum in terms of transport to where the free service is being offered.</w:t>
      </w:r>
    </w:p>
    <w:p w:rsidR="00716AF2" w:rsidRDefault="000028AF" w:rsidP="00D23111">
      <w:pPr>
        <w:spacing w:after="120" w:line="276" w:lineRule="auto"/>
        <w:jc w:val="both"/>
        <w:rPr>
          <w:rFonts w:ascii="Book Antiqua" w:hAnsi="Book Antiqua"/>
        </w:rPr>
      </w:pPr>
      <w:r>
        <w:rPr>
          <w:rFonts w:ascii="Book Antiqua" w:hAnsi="Book Antiqua"/>
        </w:rPr>
        <w:t xml:space="preserve">The study also found that </w:t>
      </w:r>
      <w:r w:rsidR="00202CB7" w:rsidRPr="00C200FA">
        <w:rPr>
          <w:rFonts w:ascii="Book Antiqua" w:hAnsi="Book Antiqua"/>
        </w:rPr>
        <w:t>the</w:t>
      </w:r>
      <w:r w:rsidR="00B7010E" w:rsidRPr="00C200FA">
        <w:rPr>
          <w:rFonts w:ascii="Book Antiqua" w:hAnsi="Book Antiqua"/>
        </w:rPr>
        <w:t xml:space="preserve"> effects of public and private health expenditures on child deaths depend critically on age at which child mortality is measured. </w:t>
      </w:r>
      <w:r>
        <w:rPr>
          <w:rFonts w:ascii="Book Antiqua" w:hAnsi="Book Antiqua"/>
        </w:rPr>
        <w:t>For instance,</w:t>
      </w:r>
      <w:r w:rsidR="00B7010E" w:rsidRPr="00C200FA">
        <w:rPr>
          <w:rFonts w:ascii="Book Antiqua" w:hAnsi="Book Antiqua"/>
        </w:rPr>
        <w:t xml:space="preserve"> public and private health expenditures have no effect on deaths of neonates, but signifi</w:t>
      </w:r>
      <w:r w:rsidR="00B7010E" w:rsidRPr="00D23111">
        <w:rPr>
          <w:rFonts w:ascii="Book Antiqua" w:hAnsi="Book Antiqua"/>
        </w:rPr>
        <w:t xml:space="preserve">cantly influence the mortality of infants and children below the age of five. </w:t>
      </w:r>
      <w:r w:rsidR="00B7010E" w:rsidRPr="00DC664F">
        <w:rPr>
          <w:rFonts w:ascii="Book Antiqua" w:hAnsi="Book Antiqua"/>
        </w:rPr>
        <w:t xml:space="preserve">However, only the health effects of the interaction between the two expenditures are statistically significant, </w:t>
      </w:r>
      <w:r w:rsidR="00B7010E" w:rsidRPr="00DC664F">
        <w:rPr>
          <w:rFonts w:ascii="Book Antiqua" w:hAnsi="Book Antiqua"/>
        </w:rPr>
        <w:lastRenderedPageBreak/>
        <w:t xml:space="preserve">suggesting that public and private health expenditures complement each other in reducing infant and under-five mortality. </w:t>
      </w:r>
      <w:r>
        <w:rPr>
          <w:rFonts w:ascii="Book Antiqua" w:hAnsi="Book Antiqua"/>
        </w:rPr>
        <w:t xml:space="preserve">After accounting </w:t>
      </w:r>
      <w:r w:rsidR="00B7010E" w:rsidRPr="00DC664F">
        <w:rPr>
          <w:rFonts w:ascii="Book Antiqua" w:hAnsi="Book Antiqua"/>
        </w:rPr>
        <w:t xml:space="preserve">for the effect of the interaction between public and private health expenditures, the individual health impacts of the expenditures are statistically insignificant. </w:t>
      </w:r>
    </w:p>
    <w:p w:rsidR="00E15B9A" w:rsidRPr="00DC664F" w:rsidRDefault="00716AF2" w:rsidP="00D23111">
      <w:pPr>
        <w:spacing w:after="120" w:line="276" w:lineRule="auto"/>
        <w:jc w:val="both"/>
        <w:rPr>
          <w:rFonts w:ascii="Book Antiqua" w:hAnsi="Book Antiqua"/>
        </w:rPr>
      </w:pPr>
      <w:r w:rsidRPr="00202CB7">
        <w:rPr>
          <w:rFonts w:ascii="Book Antiqua" w:hAnsi="Book Antiqua"/>
          <w:b/>
        </w:rPr>
        <w:t>Conclusions</w:t>
      </w:r>
      <w:r>
        <w:rPr>
          <w:rFonts w:ascii="Book Antiqua" w:hAnsi="Book Antiqua"/>
        </w:rPr>
        <w:t>: I</w:t>
      </w:r>
      <w:r w:rsidR="00B7010E" w:rsidRPr="00DC664F">
        <w:rPr>
          <w:rFonts w:ascii="Book Antiqua" w:hAnsi="Book Antiqua"/>
        </w:rPr>
        <w:t>n their control of childhood diseases, health policy makers need to take cognizance of the fact that, whereas, the government should invest adequately in the provision of preventive health services, at the same time, households should similarly provide for treatment of non-</w:t>
      </w:r>
      <w:proofErr w:type="spellStart"/>
      <w:r w:rsidR="00B7010E" w:rsidRPr="00DC664F">
        <w:rPr>
          <w:rFonts w:ascii="Book Antiqua" w:hAnsi="Book Antiqua"/>
        </w:rPr>
        <w:t>immunizable</w:t>
      </w:r>
      <w:proofErr w:type="spellEnd"/>
      <w:r w:rsidR="00B7010E" w:rsidRPr="00DC664F">
        <w:rPr>
          <w:rFonts w:ascii="Book Antiqua" w:hAnsi="Book Antiqua"/>
        </w:rPr>
        <w:t xml:space="preserve"> diseases. More generally, the empirical findings of the </w:t>
      </w:r>
      <w:r>
        <w:rPr>
          <w:rFonts w:ascii="Book Antiqua" w:hAnsi="Book Antiqua"/>
        </w:rPr>
        <w:t xml:space="preserve">study </w:t>
      </w:r>
      <w:r w:rsidR="00B7010E" w:rsidRPr="00DC664F">
        <w:rPr>
          <w:rFonts w:ascii="Book Antiqua" w:hAnsi="Book Antiqua"/>
        </w:rPr>
        <w:t xml:space="preserve">point to the need to design and implement policies that promote synergy between public and health expenditures in the control of diseases. </w:t>
      </w:r>
    </w:p>
    <w:p w:rsidR="005C22A6" w:rsidRPr="00DC664F" w:rsidRDefault="005C22A6" w:rsidP="002367D3">
      <w:pPr>
        <w:spacing w:after="120" w:line="276" w:lineRule="auto"/>
        <w:jc w:val="both"/>
        <w:rPr>
          <w:rFonts w:ascii="Book Antiqua" w:hAnsi="Book Antiqua"/>
        </w:rPr>
      </w:pPr>
    </w:p>
    <w:p w:rsidR="005C22A6" w:rsidRPr="00DC664F" w:rsidRDefault="005C22A6" w:rsidP="002367D3">
      <w:pPr>
        <w:spacing w:after="120" w:line="276" w:lineRule="auto"/>
        <w:jc w:val="both"/>
        <w:rPr>
          <w:rFonts w:ascii="Book Antiqua" w:hAnsi="Book Antiqua"/>
        </w:rPr>
      </w:pPr>
    </w:p>
    <w:p w:rsidR="005C22A6" w:rsidRPr="00C25060" w:rsidRDefault="005C22A6" w:rsidP="005C22A6">
      <w:pPr>
        <w:rPr>
          <w:rFonts w:ascii="Book Antiqua" w:hAnsi="Book Antiqua"/>
          <w:i/>
          <w:sz w:val="22"/>
          <w:szCs w:val="22"/>
        </w:rPr>
      </w:pPr>
      <w:r w:rsidRPr="00C25060">
        <w:rPr>
          <w:rFonts w:ascii="Book Antiqua" w:hAnsi="Book Antiqua"/>
          <w:i/>
        </w:rPr>
        <w:t>David Muthaka, PhD.</w:t>
      </w:r>
    </w:p>
    <w:p w:rsidR="005C22A6" w:rsidRPr="00C25060" w:rsidRDefault="005C22A6" w:rsidP="005C22A6">
      <w:pPr>
        <w:rPr>
          <w:rFonts w:ascii="Book Antiqua" w:hAnsi="Book Antiqua"/>
          <w:i/>
        </w:rPr>
      </w:pPr>
      <w:r w:rsidRPr="00C25060">
        <w:rPr>
          <w:rFonts w:ascii="Book Antiqua" w:hAnsi="Book Antiqua"/>
          <w:i/>
        </w:rPr>
        <w:t>Deputy Director, Policy and Planning,</w:t>
      </w:r>
    </w:p>
    <w:p w:rsidR="005C22A6" w:rsidRPr="00C25060" w:rsidRDefault="005C22A6" w:rsidP="005C22A6">
      <w:pPr>
        <w:rPr>
          <w:rFonts w:ascii="Book Antiqua" w:hAnsi="Book Antiqua"/>
          <w:i/>
        </w:rPr>
      </w:pPr>
      <w:r w:rsidRPr="00C25060">
        <w:rPr>
          <w:rFonts w:ascii="Book Antiqua" w:hAnsi="Book Antiqua"/>
          <w:i/>
        </w:rPr>
        <w:t>Salaries &amp; Remuneration Commission</w:t>
      </w:r>
      <w:r w:rsidRPr="00C25060">
        <w:rPr>
          <w:rFonts w:ascii="Book Antiqua" w:hAnsi="Book Antiqua"/>
          <w:i/>
          <w:color w:val="1F497D"/>
        </w:rPr>
        <w:t>,</w:t>
      </w:r>
    </w:p>
    <w:p w:rsidR="005C22A6" w:rsidRPr="00C25060" w:rsidRDefault="005C22A6" w:rsidP="005C22A6">
      <w:pPr>
        <w:rPr>
          <w:rFonts w:ascii="Book Antiqua" w:hAnsi="Book Antiqua"/>
          <w:i/>
        </w:rPr>
      </w:pPr>
      <w:r w:rsidRPr="00C25060">
        <w:rPr>
          <w:rFonts w:ascii="Book Antiqua" w:hAnsi="Book Antiqua"/>
          <w:i/>
        </w:rPr>
        <w:t xml:space="preserve">6th Floor, Williamson House, 4th </w:t>
      </w:r>
      <w:proofErr w:type="spellStart"/>
      <w:r w:rsidRPr="00C25060">
        <w:rPr>
          <w:rFonts w:ascii="Book Antiqua" w:hAnsi="Book Antiqua"/>
          <w:i/>
        </w:rPr>
        <w:t>Ngong</w:t>
      </w:r>
      <w:proofErr w:type="spellEnd"/>
      <w:r w:rsidRPr="00C25060">
        <w:rPr>
          <w:rFonts w:ascii="Book Antiqua" w:hAnsi="Book Antiqua"/>
          <w:i/>
        </w:rPr>
        <w:t xml:space="preserve"> Avenue</w:t>
      </w:r>
      <w:r w:rsidRPr="00C25060">
        <w:rPr>
          <w:rFonts w:ascii="Book Antiqua" w:hAnsi="Book Antiqua"/>
          <w:i/>
          <w:color w:val="1F497D"/>
        </w:rPr>
        <w:t>,</w:t>
      </w:r>
    </w:p>
    <w:p w:rsidR="005C22A6" w:rsidRPr="00C25060" w:rsidRDefault="005C22A6" w:rsidP="005C22A6">
      <w:pPr>
        <w:rPr>
          <w:rFonts w:ascii="Book Antiqua" w:hAnsi="Book Antiqua"/>
          <w:i/>
        </w:rPr>
      </w:pPr>
      <w:r w:rsidRPr="00C25060">
        <w:rPr>
          <w:rFonts w:ascii="Book Antiqua" w:hAnsi="Book Antiqua"/>
          <w:i/>
        </w:rPr>
        <w:t>P.O Box 43126-00100 Nairobi,</w:t>
      </w:r>
      <w:r w:rsidRPr="00C25060">
        <w:rPr>
          <w:rFonts w:ascii="Book Antiqua" w:hAnsi="Book Antiqua"/>
          <w:i/>
          <w:color w:val="1F497D"/>
        </w:rPr>
        <w:t xml:space="preserve"> </w:t>
      </w:r>
      <w:r w:rsidRPr="00C25060">
        <w:rPr>
          <w:rFonts w:ascii="Book Antiqua" w:hAnsi="Book Antiqua"/>
          <w:i/>
        </w:rPr>
        <w:t>Kenya</w:t>
      </w:r>
    </w:p>
    <w:p w:rsidR="005C22A6" w:rsidRPr="00C25060" w:rsidRDefault="005C22A6" w:rsidP="005C22A6">
      <w:pPr>
        <w:rPr>
          <w:rFonts w:ascii="Book Antiqua" w:hAnsi="Book Antiqua"/>
          <w:i/>
        </w:rPr>
      </w:pPr>
      <w:r w:rsidRPr="00C25060">
        <w:rPr>
          <w:rFonts w:ascii="Book Antiqua" w:hAnsi="Book Antiqua"/>
          <w:i/>
        </w:rPr>
        <w:t>Tel: +254 (20) 2710071/73</w:t>
      </w:r>
    </w:p>
    <w:p w:rsidR="005C22A6" w:rsidRPr="00C25060" w:rsidRDefault="005C22A6" w:rsidP="005C22A6">
      <w:pPr>
        <w:rPr>
          <w:rFonts w:ascii="Book Antiqua" w:hAnsi="Book Antiqua"/>
          <w:i/>
        </w:rPr>
      </w:pPr>
      <w:r w:rsidRPr="00C25060">
        <w:rPr>
          <w:rFonts w:ascii="Book Antiqua" w:hAnsi="Book Antiqua"/>
          <w:i/>
        </w:rPr>
        <w:t>Cell: +254-722609560</w:t>
      </w:r>
    </w:p>
    <w:p w:rsidR="005C22A6" w:rsidRPr="00C25060" w:rsidRDefault="005C22A6" w:rsidP="005C22A6">
      <w:pPr>
        <w:rPr>
          <w:rFonts w:ascii="Book Antiqua" w:hAnsi="Book Antiqua"/>
          <w:i/>
        </w:rPr>
      </w:pPr>
      <w:r w:rsidRPr="00C25060">
        <w:rPr>
          <w:rFonts w:ascii="Book Antiqua" w:hAnsi="Book Antiqua"/>
          <w:i/>
        </w:rPr>
        <w:t xml:space="preserve">E-Mail: </w:t>
      </w:r>
      <w:hyperlink r:id="rId8" w:history="1">
        <w:r w:rsidR="00C25060" w:rsidRPr="00980274">
          <w:rPr>
            <w:rStyle w:val="Hyperlink"/>
            <w:rFonts w:ascii="Book Antiqua" w:hAnsi="Book Antiqua"/>
            <w:i/>
          </w:rPr>
          <w:t>dimuthaka@yahoo.com</w:t>
        </w:r>
      </w:hyperlink>
      <w:r w:rsidR="00C25060">
        <w:rPr>
          <w:rFonts w:ascii="Book Antiqua" w:hAnsi="Book Antiqua"/>
          <w:i/>
        </w:rPr>
        <w:t xml:space="preserve">; </w:t>
      </w:r>
      <w:hyperlink r:id="rId9" w:history="1">
        <w:r w:rsidRPr="00C25060">
          <w:rPr>
            <w:rStyle w:val="Hyperlink"/>
            <w:rFonts w:ascii="Book Antiqua" w:hAnsi="Book Antiqua"/>
            <w:i/>
          </w:rPr>
          <w:t>dmuthaka@src.go.ke</w:t>
        </w:r>
      </w:hyperlink>
      <w:r w:rsidR="00C25060">
        <w:rPr>
          <w:rFonts w:ascii="Book Antiqua" w:hAnsi="Book Antiqua"/>
          <w:i/>
        </w:rPr>
        <w:t>;</w:t>
      </w:r>
    </w:p>
    <w:p w:rsidR="005C22A6" w:rsidRPr="00C200FA" w:rsidRDefault="005C22A6" w:rsidP="002367D3">
      <w:pPr>
        <w:spacing w:after="120" w:line="276" w:lineRule="auto"/>
        <w:jc w:val="both"/>
        <w:rPr>
          <w:rFonts w:ascii="Book Antiqua" w:hAnsi="Book Antiqua"/>
        </w:rPr>
      </w:pPr>
    </w:p>
    <w:sectPr w:rsidR="005C22A6" w:rsidRPr="00C200FA">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1CC8" w:rsidRDefault="00EC1CC8" w:rsidP="00273516">
      <w:r>
        <w:separator/>
      </w:r>
    </w:p>
  </w:endnote>
  <w:endnote w:type="continuationSeparator" w:id="0">
    <w:p w:rsidR="00EC1CC8" w:rsidRDefault="00EC1CC8" w:rsidP="002735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6883623"/>
      <w:docPartObj>
        <w:docPartGallery w:val="Page Numbers (Bottom of Page)"/>
        <w:docPartUnique/>
      </w:docPartObj>
    </w:sdtPr>
    <w:sdtEndPr>
      <w:rPr>
        <w:noProof/>
      </w:rPr>
    </w:sdtEndPr>
    <w:sdtContent>
      <w:p w:rsidR="00E15B9A" w:rsidRDefault="00E15B9A">
        <w:pPr>
          <w:pStyle w:val="Footer"/>
          <w:jc w:val="center"/>
        </w:pPr>
        <w:r>
          <w:fldChar w:fldCharType="begin"/>
        </w:r>
        <w:r>
          <w:instrText xml:space="preserve"> PAGE   \* MERGEFORMAT </w:instrText>
        </w:r>
        <w:r>
          <w:fldChar w:fldCharType="separate"/>
        </w:r>
        <w:r w:rsidR="00724E0A">
          <w:rPr>
            <w:noProof/>
          </w:rPr>
          <w:t>2</w:t>
        </w:r>
        <w:r>
          <w:rPr>
            <w:noProof/>
          </w:rPr>
          <w:fldChar w:fldCharType="end"/>
        </w:r>
      </w:p>
    </w:sdtContent>
  </w:sdt>
  <w:p w:rsidR="00E15B9A" w:rsidRDefault="00E15B9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1CC8" w:rsidRDefault="00EC1CC8" w:rsidP="00273516">
      <w:r>
        <w:separator/>
      </w:r>
    </w:p>
  </w:footnote>
  <w:footnote w:type="continuationSeparator" w:id="0">
    <w:p w:rsidR="00EC1CC8" w:rsidRDefault="00EC1CC8" w:rsidP="00273516">
      <w:r>
        <w:continuationSeparator/>
      </w:r>
    </w:p>
  </w:footnote>
  <w:footnote w:id="1">
    <w:p w:rsidR="005C22A6" w:rsidRPr="00DD71B2" w:rsidRDefault="005C22A6">
      <w:pPr>
        <w:pStyle w:val="FootnoteText"/>
        <w:rPr>
          <w:lang w:val="en-GB"/>
        </w:rPr>
      </w:pPr>
      <w:r>
        <w:rPr>
          <w:rStyle w:val="FootnoteReference"/>
        </w:rPr>
        <w:footnoteRef/>
      </w:r>
      <w:r>
        <w:t xml:space="preserve"> This paper is </w:t>
      </w:r>
      <w:r w:rsidR="00A42122">
        <w:t>derived</w:t>
      </w:r>
      <w:r>
        <w:t xml:space="preserve"> from my PhD Thesis under the same title.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C422AD9"/>
    <w:multiLevelType w:val="hybridMultilevel"/>
    <w:tmpl w:val="C64E4870"/>
    <w:lvl w:ilvl="0" w:tplc="04090005">
      <w:start w:val="1"/>
      <w:numFmt w:val="decimal"/>
      <w:lvlText w:val="%1."/>
      <w:lvlJc w:val="left"/>
      <w:pPr>
        <w:tabs>
          <w:tab w:val="num" w:pos="720"/>
        </w:tabs>
        <w:ind w:left="720" w:hanging="360"/>
      </w:pPr>
    </w:lvl>
    <w:lvl w:ilvl="1" w:tplc="04090003">
      <w:numFmt w:val="none"/>
      <w:lvlText w:val=""/>
      <w:lvlJc w:val="left"/>
      <w:pPr>
        <w:tabs>
          <w:tab w:val="num" w:pos="360"/>
        </w:tabs>
      </w:pPr>
    </w:lvl>
    <w:lvl w:ilvl="2" w:tplc="04090005">
      <w:numFmt w:val="none"/>
      <w:lvlText w:val=""/>
      <w:lvlJc w:val="left"/>
      <w:pPr>
        <w:tabs>
          <w:tab w:val="num" w:pos="360"/>
        </w:tabs>
      </w:pPr>
    </w:lvl>
    <w:lvl w:ilvl="3" w:tplc="04090001">
      <w:numFmt w:val="none"/>
      <w:lvlText w:val=""/>
      <w:lvlJc w:val="left"/>
      <w:pPr>
        <w:tabs>
          <w:tab w:val="num" w:pos="360"/>
        </w:tabs>
      </w:pPr>
    </w:lvl>
    <w:lvl w:ilvl="4" w:tplc="04090003">
      <w:numFmt w:val="none"/>
      <w:lvlText w:val=""/>
      <w:lvlJc w:val="left"/>
      <w:pPr>
        <w:tabs>
          <w:tab w:val="num" w:pos="360"/>
        </w:tabs>
      </w:pPr>
    </w:lvl>
    <w:lvl w:ilvl="5" w:tplc="04090005">
      <w:numFmt w:val="none"/>
      <w:lvlText w:val=""/>
      <w:lvlJc w:val="left"/>
      <w:pPr>
        <w:tabs>
          <w:tab w:val="num" w:pos="360"/>
        </w:tabs>
      </w:pPr>
    </w:lvl>
    <w:lvl w:ilvl="6" w:tplc="04090001">
      <w:numFmt w:val="none"/>
      <w:lvlText w:val=""/>
      <w:lvlJc w:val="left"/>
      <w:pPr>
        <w:tabs>
          <w:tab w:val="num" w:pos="360"/>
        </w:tabs>
      </w:pPr>
    </w:lvl>
    <w:lvl w:ilvl="7" w:tplc="04090003">
      <w:numFmt w:val="none"/>
      <w:lvlText w:val=""/>
      <w:lvlJc w:val="left"/>
      <w:pPr>
        <w:tabs>
          <w:tab w:val="num" w:pos="360"/>
        </w:tabs>
      </w:pPr>
    </w:lvl>
    <w:lvl w:ilvl="8" w:tplc="04090005">
      <w:numFmt w:val="none"/>
      <w:lvlText w:val=""/>
      <w:lvlJc w:val="left"/>
      <w:pPr>
        <w:tabs>
          <w:tab w:val="num" w:pos="36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010E"/>
    <w:rsid w:val="000028AF"/>
    <w:rsid w:val="001747E0"/>
    <w:rsid w:val="00202CB7"/>
    <w:rsid w:val="002367D3"/>
    <w:rsid w:val="00237FAF"/>
    <w:rsid w:val="00264071"/>
    <w:rsid w:val="00273516"/>
    <w:rsid w:val="00275F1F"/>
    <w:rsid w:val="002908F0"/>
    <w:rsid w:val="00345C17"/>
    <w:rsid w:val="00390A09"/>
    <w:rsid w:val="00397AE7"/>
    <w:rsid w:val="00410B5C"/>
    <w:rsid w:val="004607C4"/>
    <w:rsid w:val="005C22A6"/>
    <w:rsid w:val="00607C41"/>
    <w:rsid w:val="00694FBF"/>
    <w:rsid w:val="00716AF2"/>
    <w:rsid w:val="00724E0A"/>
    <w:rsid w:val="007E612A"/>
    <w:rsid w:val="008163D9"/>
    <w:rsid w:val="00855FDD"/>
    <w:rsid w:val="00915B26"/>
    <w:rsid w:val="009808C7"/>
    <w:rsid w:val="009E3EC1"/>
    <w:rsid w:val="00A42122"/>
    <w:rsid w:val="00B7010E"/>
    <w:rsid w:val="00B761D9"/>
    <w:rsid w:val="00C200FA"/>
    <w:rsid w:val="00C25060"/>
    <w:rsid w:val="00C4376F"/>
    <w:rsid w:val="00CE5607"/>
    <w:rsid w:val="00CE78D7"/>
    <w:rsid w:val="00D23111"/>
    <w:rsid w:val="00D50F71"/>
    <w:rsid w:val="00D65631"/>
    <w:rsid w:val="00D86A03"/>
    <w:rsid w:val="00DC664F"/>
    <w:rsid w:val="00DD71B2"/>
    <w:rsid w:val="00E15B9A"/>
    <w:rsid w:val="00E97739"/>
    <w:rsid w:val="00EC1CC8"/>
    <w:rsid w:val="00F21E64"/>
    <w:rsid w:val="00F851D3"/>
    <w:rsid w:val="00FE7EC8"/>
    <w:rsid w:val="00FF2C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6DB8E8-7A4C-45AD-BBBD-CDC755870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010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S,fn,single space"/>
    <w:basedOn w:val="Normal"/>
    <w:link w:val="FootnoteTextChar"/>
    <w:uiPriority w:val="99"/>
    <w:rsid w:val="00273516"/>
    <w:rPr>
      <w:sz w:val="20"/>
      <w:szCs w:val="20"/>
    </w:rPr>
  </w:style>
  <w:style w:type="character" w:customStyle="1" w:styleId="FootnoteTextChar">
    <w:name w:val="Footnote Text Char"/>
    <w:aliases w:val="FOOTNOTES Char,fn Char,single space Char"/>
    <w:basedOn w:val="DefaultParagraphFont"/>
    <w:link w:val="FootnoteText"/>
    <w:uiPriority w:val="99"/>
    <w:rsid w:val="00273516"/>
    <w:rPr>
      <w:rFonts w:ascii="Times New Roman" w:eastAsia="Times New Roman" w:hAnsi="Times New Roman" w:cs="Times New Roman"/>
      <w:sz w:val="20"/>
      <w:szCs w:val="20"/>
    </w:rPr>
  </w:style>
  <w:style w:type="character" w:styleId="FootnoteReference">
    <w:name w:val="footnote reference"/>
    <w:basedOn w:val="DefaultParagraphFont"/>
    <w:rsid w:val="00273516"/>
    <w:rPr>
      <w:vertAlign w:val="superscript"/>
    </w:rPr>
  </w:style>
  <w:style w:type="paragraph" w:styleId="Header">
    <w:name w:val="header"/>
    <w:basedOn w:val="Normal"/>
    <w:link w:val="HeaderChar"/>
    <w:uiPriority w:val="99"/>
    <w:unhideWhenUsed/>
    <w:rsid w:val="00D65631"/>
    <w:pPr>
      <w:tabs>
        <w:tab w:val="center" w:pos="4680"/>
        <w:tab w:val="right" w:pos="9360"/>
      </w:tabs>
    </w:pPr>
  </w:style>
  <w:style w:type="character" w:customStyle="1" w:styleId="HeaderChar">
    <w:name w:val="Header Char"/>
    <w:basedOn w:val="DefaultParagraphFont"/>
    <w:link w:val="Header"/>
    <w:uiPriority w:val="99"/>
    <w:rsid w:val="00D65631"/>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D65631"/>
    <w:pPr>
      <w:tabs>
        <w:tab w:val="center" w:pos="4680"/>
        <w:tab w:val="right" w:pos="9360"/>
      </w:tabs>
    </w:pPr>
  </w:style>
  <w:style w:type="character" w:customStyle="1" w:styleId="FooterChar">
    <w:name w:val="Footer Char"/>
    <w:basedOn w:val="DefaultParagraphFont"/>
    <w:link w:val="Footer"/>
    <w:uiPriority w:val="99"/>
    <w:rsid w:val="00D6563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908F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08F0"/>
    <w:rPr>
      <w:rFonts w:ascii="Segoe UI" w:eastAsia="Times New Roman" w:hAnsi="Segoe UI" w:cs="Segoe UI"/>
      <w:sz w:val="18"/>
      <w:szCs w:val="18"/>
    </w:rPr>
  </w:style>
  <w:style w:type="character" w:styleId="Hyperlink">
    <w:name w:val="Hyperlink"/>
    <w:basedOn w:val="DefaultParagraphFont"/>
    <w:uiPriority w:val="99"/>
    <w:unhideWhenUsed/>
    <w:rsid w:val="00C4376F"/>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7474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muthaka@yahoo.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muthaka@src.go.k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720723-7B1E-4E95-A1A0-EF2BF515E6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2</Pages>
  <Words>530</Words>
  <Characters>3027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Muthaka</dc:creator>
  <cp:keywords/>
  <dc:description/>
  <cp:lastModifiedBy>David Muthaka</cp:lastModifiedBy>
  <cp:revision>39</cp:revision>
  <cp:lastPrinted>2016-02-26T16:43:00Z</cp:lastPrinted>
  <dcterms:created xsi:type="dcterms:W3CDTF">2016-02-26T13:35:00Z</dcterms:created>
  <dcterms:modified xsi:type="dcterms:W3CDTF">2016-02-26T17:04:00Z</dcterms:modified>
</cp:coreProperties>
</file>