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B8E" w:rsidRPr="00F21B8E" w:rsidRDefault="00F21B8E" w:rsidP="00F21B8E">
      <w:pPr>
        <w:jc w:val="center"/>
        <w:rPr>
          <w:b/>
          <w:sz w:val="24"/>
          <w:lang w:val="fr-FR"/>
        </w:rPr>
      </w:pPr>
      <w:bookmarkStart w:id="0" w:name="_Toc401042325"/>
      <w:r w:rsidRPr="00F21B8E">
        <w:rPr>
          <w:b/>
          <w:sz w:val="24"/>
          <w:lang w:val="fr-FR"/>
        </w:rPr>
        <w:t>ETUDE SUR LES MECANISMES DE FINANCEMENT INNOVANTS</w:t>
      </w:r>
      <w:r w:rsidR="005C2B99">
        <w:rPr>
          <w:b/>
          <w:sz w:val="24"/>
          <w:lang w:val="fr-FR"/>
        </w:rPr>
        <w:t xml:space="preserve"> AU TOGO</w:t>
      </w:r>
    </w:p>
    <w:bookmarkEnd w:id="0"/>
    <w:p w:rsidR="00F21B8E" w:rsidRDefault="00F21B8E" w:rsidP="00F21B8E">
      <w:pPr>
        <w:autoSpaceDE w:val="0"/>
        <w:autoSpaceDN w:val="0"/>
        <w:adjustRightInd w:val="0"/>
        <w:jc w:val="both"/>
        <w:rPr>
          <w:rFonts w:ascii="Times-Roman" w:hAnsi="Times-Roman" w:cs="Times-Roman"/>
          <w:szCs w:val="22"/>
          <w:lang w:val="fr-FR" w:eastAsia="en-GB"/>
        </w:rPr>
      </w:pPr>
    </w:p>
    <w:p w:rsidR="00F21B8E" w:rsidRPr="0011177D" w:rsidRDefault="00F21B8E" w:rsidP="00F21B8E">
      <w:pPr>
        <w:autoSpaceDE w:val="0"/>
        <w:autoSpaceDN w:val="0"/>
        <w:adjustRightInd w:val="0"/>
        <w:spacing w:after="120"/>
        <w:jc w:val="both"/>
        <w:rPr>
          <w:rFonts w:ascii="Times New Roman" w:hAnsi="Times New Roman"/>
          <w:b/>
          <w:szCs w:val="22"/>
          <w:lang w:val="fr-FR" w:eastAsia="en-GB"/>
        </w:rPr>
      </w:pPr>
      <w:r w:rsidRPr="0011177D">
        <w:rPr>
          <w:rFonts w:ascii="Times New Roman" w:hAnsi="Times New Roman"/>
          <w:b/>
          <w:szCs w:val="22"/>
          <w:lang w:val="fr-FR" w:eastAsia="en-GB"/>
        </w:rPr>
        <w:t>Justification et objectifs</w:t>
      </w:r>
    </w:p>
    <w:p w:rsidR="00F21B8E" w:rsidRPr="004E69D2" w:rsidRDefault="00F21B8E" w:rsidP="00F21B8E">
      <w:pPr>
        <w:pStyle w:val="BodyText1"/>
        <w:spacing w:after="0"/>
        <w:jc w:val="both"/>
        <w:rPr>
          <w:rFonts w:ascii="Times New Roman" w:hAnsi="Times New Roman"/>
          <w:sz w:val="24"/>
          <w:szCs w:val="24"/>
          <w:lang w:val="fr-FR"/>
        </w:rPr>
      </w:pPr>
      <w:r>
        <w:rPr>
          <w:rFonts w:ascii="Times New Roman" w:hAnsi="Times New Roman"/>
          <w:sz w:val="24"/>
          <w:szCs w:val="24"/>
          <w:lang w:val="fr-FR"/>
        </w:rPr>
        <w:t>L</w:t>
      </w:r>
      <w:r w:rsidRPr="00221AC7">
        <w:rPr>
          <w:rFonts w:ascii="Times New Roman" w:hAnsi="Times New Roman"/>
          <w:sz w:val="24"/>
          <w:szCs w:val="24"/>
          <w:lang w:val="fr-FR"/>
        </w:rPr>
        <w:t xml:space="preserve">e gouvernement </w:t>
      </w:r>
      <w:r>
        <w:rPr>
          <w:rFonts w:ascii="Times New Roman" w:hAnsi="Times New Roman"/>
          <w:sz w:val="24"/>
          <w:szCs w:val="24"/>
          <w:lang w:val="fr-FR"/>
        </w:rPr>
        <w:t xml:space="preserve">du Togo </w:t>
      </w:r>
      <w:r w:rsidRPr="004E69D2">
        <w:rPr>
          <w:rFonts w:ascii="Times New Roman" w:hAnsi="Times New Roman"/>
          <w:sz w:val="24"/>
          <w:szCs w:val="24"/>
          <w:lang w:val="fr-FR"/>
        </w:rPr>
        <w:t xml:space="preserve">s’est engagé dans l’élaboration d’une stratégie nationale de financement de la santé (SNFS) vers la couverture sanitaire universelle (CSU) </w:t>
      </w:r>
      <w:r>
        <w:rPr>
          <w:rFonts w:ascii="Times New Roman" w:hAnsi="Times New Roman"/>
          <w:sz w:val="24"/>
          <w:szCs w:val="24"/>
          <w:lang w:val="fr-FR"/>
        </w:rPr>
        <w:t>afin</w:t>
      </w:r>
      <w:r w:rsidRPr="004E69D2">
        <w:rPr>
          <w:rFonts w:ascii="Times New Roman" w:hAnsi="Times New Roman"/>
          <w:sz w:val="24"/>
          <w:szCs w:val="24"/>
          <w:lang w:val="fr-FR"/>
        </w:rPr>
        <w:t xml:space="preserve"> d’assurer l’accès universel de tous à de</w:t>
      </w:r>
      <w:r>
        <w:rPr>
          <w:rFonts w:ascii="Times New Roman" w:hAnsi="Times New Roman"/>
          <w:sz w:val="24"/>
          <w:szCs w:val="24"/>
          <w:lang w:val="fr-FR"/>
        </w:rPr>
        <w:t>s</w:t>
      </w:r>
      <w:r w:rsidRPr="004E69D2">
        <w:rPr>
          <w:rFonts w:ascii="Times New Roman" w:hAnsi="Times New Roman"/>
          <w:sz w:val="24"/>
          <w:szCs w:val="24"/>
          <w:lang w:val="fr-FR"/>
        </w:rPr>
        <w:t xml:space="preserve"> services de qualité sans encourir de dépenses catastrophiques. </w:t>
      </w:r>
    </w:p>
    <w:p w:rsidR="00F21B8E" w:rsidRDefault="00F21B8E" w:rsidP="00F21B8E">
      <w:pPr>
        <w:pStyle w:val="BodyText1"/>
        <w:spacing w:after="0"/>
        <w:jc w:val="both"/>
        <w:rPr>
          <w:rFonts w:ascii="Times New Roman" w:hAnsi="Times New Roman"/>
          <w:sz w:val="24"/>
          <w:szCs w:val="24"/>
          <w:lang w:val="fr-FR"/>
        </w:rPr>
      </w:pPr>
      <w:r w:rsidRPr="004E69D2">
        <w:rPr>
          <w:rFonts w:ascii="Times New Roman" w:hAnsi="Times New Roman"/>
          <w:sz w:val="24"/>
          <w:szCs w:val="24"/>
          <w:lang w:val="fr-FR"/>
        </w:rPr>
        <w:t xml:space="preserve"> </w:t>
      </w:r>
      <w:r>
        <w:rPr>
          <w:rFonts w:ascii="Times New Roman" w:hAnsi="Times New Roman"/>
          <w:sz w:val="24"/>
          <w:szCs w:val="24"/>
          <w:lang w:val="fr-FR"/>
        </w:rPr>
        <w:t xml:space="preserve">En effet, </w:t>
      </w:r>
      <w:r w:rsidRPr="004E69D2">
        <w:rPr>
          <w:rFonts w:ascii="Times New Roman" w:hAnsi="Times New Roman"/>
          <w:sz w:val="24"/>
          <w:szCs w:val="24"/>
          <w:lang w:val="fr-FR"/>
        </w:rPr>
        <w:t xml:space="preserve">les ressources actuellement affectées à la santé à travers le budget de l’Etat </w:t>
      </w:r>
      <w:r>
        <w:rPr>
          <w:rFonts w:ascii="Times New Roman" w:hAnsi="Times New Roman"/>
          <w:sz w:val="24"/>
          <w:szCs w:val="24"/>
          <w:lang w:val="fr-FR"/>
        </w:rPr>
        <w:t>étant</w:t>
      </w:r>
      <w:r w:rsidRPr="004E69D2">
        <w:rPr>
          <w:rFonts w:ascii="Times New Roman" w:hAnsi="Times New Roman"/>
          <w:sz w:val="24"/>
          <w:szCs w:val="24"/>
          <w:lang w:val="fr-FR"/>
        </w:rPr>
        <w:t xml:space="preserve"> limitées</w:t>
      </w:r>
      <w:r>
        <w:rPr>
          <w:rFonts w:ascii="Times New Roman" w:hAnsi="Times New Roman"/>
          <w:sz w:val="24"/>
          <w:szCs w:val="24"/>
          <w:lang w:val="fr-FR"/>
        </w:rPr>
        <w:t>, l</w:t>
      </w:r>
      <w:r w:rsidRPr="004E69D2">
        <w:rPr>
          <w:rFonts w:ascii="Times New Roman" w:hAnsi="Times New Roman"/>
          <w:sz w:val="24"/>
          <w:szCs w:val="24"/>
          <w:lang w:val="fr-FR"/>
        </w:rPr>
        <w:t>’accès aux services de santé essentiels de qualité entraîne encore souvent des dépenses insurmontables liées au paiement direct des soins p</w:t>
      </w:r>
      <w:r>
        <w:rPr>
          <w:rFonts w:ascii="Times New Roman" w:hAnsi="Times New Roman"/>
          <w:sz w:val="24"/>
          <w:szCs w:val="24"/>
          <w:lang w:val="fr-FR"/>
        </w:rPr>
        <w:t>ar</w:t>
      </w:r>
      <w:r w:rsidRPr="004E69D2">
        <w:rPr>
          <w:rFonts w:ascii="Times New Roman" w:hAnsi="Times New Roman"/>
          <w:sz w:val="24"/>
          <w:szCs w:val="24"/>
          <w:lang w:val="fr-FR"/>
        </w:rPr>
        <w:t xml:space="preserve"> de larges couches de la population. </w:t>
      </w:r>
    </w:p>
    <w:p w:rsidR="00F21B8E" w:rsidRDefault="00F21B8E" w:rsidP="00F21B8E">
      <w:pPr>
        <w:pStyle w:val="BodyText1"/>
        <w:spacing w:after="0"/>
        <w:jc w:val="both"/>
        <w:rPr>
          <w:rFonts w:ascii="Times New Roman" w:hAnsi="Times New Roman"/>
          <w:sz w:val="24"/>
          <w:szCs w:val="24"/>
          <w:lang w:val="fr-FR"/>
        </w:rPr>
      </w:pPr>
      <w:r w:rsidRPr="004E69D2">
        <w:rPr>
          <w:rFonts w:ascii="Times New Roman" w:hAnsi="Times New Roman"/>
          <w:sz w:val="24"/>
          <w:szCs w:val="24"/>
          <w:lang w:val="fr-FR"/>
        </w:rPr>
        <w:t>C’est dans ce contexte que le ministère de la santé, a sollicité l’assistance du programme de partenariat Union européenne</w:t>
      </w:r>
      <w:r>
        <w:rPr>
          <w:rFonts w:ascii="Times New Roman" w:hAnsi="Times New Roman"/>
          <w:sz w:val="24"/>
          <w:szCs w:val="24"/>
          <w:lang w:val="fr-FR"/>
        </w:rPr>
        <w:t xml:space="preserve"> </w:t>
      </w:r>
      <w:r w:rsidRPr="004E69D2">
        <w:rPr>
          <w:rFonts w:ascii="Times New Roman" w:hAnsi="Times New Roman"/>
          <w:sz w:val="24"/>
          <w:szCs w:val="24"/>
          <w:lang w:val="fr-FR"/>
        </w:rPr>
        <w:t xml:space="preserve">– OMS </w:t>
      </w:r>
      <w:r>
        <w:rPr>
          <w:rFonts w:ascii="Times New Roman" w:hAnsi="Times New Roman"/>
          <w:sz w:val="24"/>
          <w:szCs w:val="24"/>
          <w:lang w:val="fr-FR"/>
        </w:rPr>
        <w:t xml:space="preserve">pour la CSU, </w:t>
      </w:r>
      <w:r w:rsidRPr="004E69D2">
        <w:rPr>
          <w:rFonts w:ascii="Times New Roman" w:hAnsi="Times New Roman"/>
          <w:sz w:val="24"/>
          <w:szCs w:val="24"/>
          <w:lang w:val="fr-FR"/>
        </w:rPr>
        <w:t xml:space="preserve">pour initier une étude </w:t>
      </w:r>
      <w:r w:rsidRPr="002E494D">
        <w:rPr>
          <w:rFonts w:ascii="Times New Roman" w:hAnsi="Times New Roman"/>
          <w:sz w:val="24"/>
          <w:szCs w:val="24"/>
          <w:lang w:val="fr-FR"/>
        </w:rPr>
        <w:t xml:space="preserve">portant sur la levée de fonds domestiques, </w:t>
      </w:r>
      <w:r w:rsidRPr="000D0F48">
        <w:rPr>
          <w:rFonts w:ascii="Times New Roman" w:hAnsi="Times New Roman"/>
          <w:sz w:val="24"/>
          <w:szCs w:val="24"/>
          <w:lang w:val="fr-FR"/>
        </w:rPr>
        <w:t>et en particulier la possibilité d’apporter plus de ressources budgétaires pour la santé par l’introduction de mécanismes de financement innovants</w:t>
      </w:r>
      <w:r>
        <w:rPr>
          <w:rFonts w:ascii="Times New Roman" w:hAnsi="Times New Roman"/>
          <w:sz w:val="24"/>
          <w:szCs w:val="24"/>
          <w:lang w:val="fr-FR"/>
        </w:rPr>
        <w:t xml:space="preserve">. </w:t>
      </w:r>
    </w:p>
    <w:p w:rsidR="00F21B8E" w:rsidRDefault="00F21B8E" w:rsidP="00F21B8E">
      <w:pPr>
        <w:pStyle w:val="BodyText1"/>
        <w:spacing w:after="0"/>
        <w:jc w:val="both"/>
        <w:rPr>
          <w:rFonts w:ascii="Times New Roman" w:hAnsi="Times New Roman"/>
          <w:sz w:val="24"/>
          <w:szCs w:val="24"/>
          <w:lang w:val="fr-FR"/>
        </w:rPr>
      </w:pPr>
      <w:r>
        <w:rPr>
          <w:rFonts w:ascii="Times New Roman" w:hAnsi="Times New Roman"/>
          <w:sz w:val="24"/>
          <w:szCs w:val="24"/>
          <w:lang w:val="fr-FR"/>
        </w:rPr>
        <w:t xml:space="preserve">L’objectif de cette étude était d’identifier </w:t>
      </w:r>
      <w:r w:rsidRPr="000D0F48">
        <w:rPr>
          <w:rFonts w:ascii="Times New Roman" w:hAnsi="Times New Roman"/>
          <w:sz w:val="24"/>
          <w:szCs w:val="24"/>
          <w:lang w:val="fr-FR"/>
        </w:rPr>
        <w:t xml:space="preserve">des </w:t>
      </w:r>
      <w:r>
        <w:rPr>
          <w:rFonts w:ascii="Times New Roman" w:hAnsi="Times New Roman"/>
          <w:sz w:val="24"/>
          <w:szCs w:val="24"/>
          <w:lang w:val="fr-FR"/>
        </w:rPr>
        <w:t xml:space="preserve">mécanismes </w:t>
      </w:r>
      <w:r w:rsidRPr="000D0F48">
        <w:rPr>
          <w:rFonts w:ascii="Times New Roman" w:hAnsi="Times New Roman"/>
          <w:sz w:val="24"/>
          <w:szCs w:val="24"/>
          <w:lang w:val="fr-FR"/>
        </w:rPr>
        <w:t xml:space="preserve"> de financement innovants permettant de </w:t>
      </w:r>
      <w:r>
        <w:rPr>
          <w:rFonts w:ascii="Times New Roman" w:hAnsi="Times New Roman"/>
          <w:sz w:val="24"/>
          <w:szCs w:val="24"/>
          <w:lang w:val="fr-FR"/>
        </w:rPr>
        <w:t xml:space="preserve">mobiliser des ressources additionnelles pour </w:t>
      </w:r>
      <w:r w:rsidRPr="000D0F48">
        <w:rPr>
          <w:rFonts w:ascii="Times New Roman" w:hAnsi="Times New Roman"/>
          <w:sz w:val="24"/>
          <w:szCs w:val="24"/>
          <w:lang w:val="fr-FR"/>
        </w:rPr>
        <w:t>soutenir </w:t>
      </w:r>
      <w:r w:rsidRPr="00397BBE">
        <w:rPr>
          <w:rFonts w:ascii="Times New Roman" w:hAnsi="Times New Roman"/>
          <w:sz w:val="24"/>
          <w:szCs w:val="24"/>
          <w:lang w:val="fr-FR"/>
        </w:rPr>
        <w:t>l</w:t>
      </w:r>
      <w:r>
        <w:rPr>
          <w:rFonts w:ascii="Times New Roman" w:hAnsi="Times New Roman"/>
          <w:sz w:val="24"/>
          <w:szCs w:val="24"/>
          <w:lang w:val="fr-FR"/>
        </w:rPr>
        <w:t>e cheminement vers la</w:t>
      </w:r>
      <w:r w:rsidRPr="00397BBE">
        <w:rPr>
          <w:rFonts w:ascii="Times New Roman" w:hAnsi="Times New Roman"/>
          <w:sz w:val="24"/>
          <w:szCs w:val="24"/>
          <w:lang w:val="fr-FR"/>
        </w:rPr>
        <w:t xml:space="preserve"> CSU au Togo.</w:t>
      </w:r>
      <w:r>
        <w:rPr>
          <w:rFonts w:ascii="Times New Roman" w:hAnsi="Times New Roman"/>
          <w:sz w:val="24"/>
          <w:szCs w:val="24"/>
          <w:lang w:val="fr-FR"/>
        </w:rPr>
        <w:t xml:space="preserve"> </w:t>
      </w:r>
    </w:p>
    <w:p w:rsidR="00F21B8E" w:rsidRDefault="00F21B8E" w:rsidP="00F21B8E">
      <w:pPr>
        <w:pStyle w:val="BodyText1"/>
        <w:spacing w:after="0"/>
        <w:jc w:val="both"/>
        <w:rPr>
          <w:rFonts w:ascii="Times New Roman" w:hAnsi="Times New Roman"/>
          <w:sz w:val="24"/>
          <w:szCs w:val="24"/>
          <w:lang w:val="fr-FR"/>
        </w:rPr>
      </w:pPr>
    </w:p>
    <w:p w:rsidR="00F21B8E" w:rsidRDefault="00F21B8E" w:rsidP="00F21B8E">
      <w:pPr>
        <w:autoSpaceDE w:val="0"/>
        <w:autoSpaceDN w:val="0"/>
        <w:adjustRightInd w:val="0"/>
        <w:spacing w:after="120"/>
        <w:jc w:val="both"/>
        <w:rPr>
          <w:rFonts w:ascii="Times New Roman" w:hAnsi="Times New Roman"/>
          <w:b/>
          <w:szCs w:val="22"/>
          <w:lang w:val="fr-FR" w:eastAsia="en-GB"/>
        </w:rPr>
      </w:pPr>
      <w:r>
        <w:rPr>
          <w:rFonts w:ascii="Times New Roman" w:hAnsi="Times New Roman"/>
          <w:b/>
          <w:szCs w:val="22"/>
          <w:lang w:val="fr-FR" w:eastAsia="en-GB"/>
        </w:rPr>
        <w:t xml:space="preserve">Lancement de l’étude </w:t>
      </w:r>
      <w:r w:rsidRPr="00A7002F">
        <w:rPr>
          <w:rFonts w:ascii="Times New Roman" w:hAnsi="Times New Roman"/>
          <w:b/>
          <w:szCs w:val="22"/>
          <w:lang w:val="fr-FR" w:eastAsia="en-GB"/>
        </w:rPr>
        <w:t xml:space="preserve"> </w:t>
      </w:r>
    </w:p>
    <w:p w:rsidR="00F21B8E" w:rsidRPr="00397BBE" w:rsidRDefault="00F21B8E" w:rsidP="00F21B8E">
      <w:pPr>
        <w:pStyle w:val="BodyText1"/>
        <w:spacing w:after="0"/>
        <w:jc w:val="both"/>
        <w:rPr>
          <w:rFonts w:ascii="Times New Roman" w:hAnsi="Times New Roman"/>
          <w:sz w:val="24"/>
          <w:szCs w:val="24"/>
          <w:lang w:val="fr-FR"/>
        </w:rPr>
      </w:pPr>
      <w:r w:rsidRPr="00397BBE">
        <w:rPr>
          <w:rFonts w:ascii="Times New Roman" w:hAnsi="Times New Roman"/>
          <w:sz w:val="24"/>
          <w:szCs w:val="24"/>
          <w:lang w:val="fr-FR"/>
        </w:rPr>
        <w:t xml:space="preserve"> </w:t>
      </w:r>
      <w:r>
        <w:rPr>
          <w:rFonts w:ascii="Times New Roman" w:hAnsi="Times New Roman"/>
          <w:sz w:val="24"/>
          <w:szCs w:val="24"/>
          <w:lang w:val="fr-FR"/>
        </w:rPr>
        <w:t xml:space="preserve">L’étude a été lancée lors de l’atelier organisé par le </w:t>
      </w:r>
      <w:r w:rsidRPr="00397BBE">
        <w:rPr>
          <w:rFonts w:ascii="Times New Roman" w:hAnsi="Times New Roman"/>
          <w:sz w:val="24"/>
          <w:szCs w:val="24"/>
          <w:lang w:val="fr-FR"/>
        </w:rPr>
        <w:t xml:space="preserve"> Ministère de la santé </w:t>
      </w:r>
      <w:r>
        <w:rPr>
          <w:rFonts w:ascii="Times New Roman" w:hAnsi="Times New Roman"/>
          <w:sz w:val="24"/>
          <w:szCs w:val="24"/>
          <w:lang w:val="fr-FR"/>
        </w:rPr>
        <w:t xml:space="preserve">et l’OMS </w:t>
      </w:r>
      <w:r w:rsidRPr="00397BBE">
        <w:rPr>
          <w:rFonts w:ascii="Times New Roman" w:hAnsi="Times New Roman"/>
          <w:sz w:val="24"/>
          <w:szCs w:val="24"/>
          <w:lang w:val="fr-FR"/>
        </w:rPr>
        <w:t xml:space="preserve"> les 28 et 29 Novembre 2013</w:t>
      </w:r>
      <w:r>
        <w:rPr>
          <w:rFonts w:ascii="Times New Roman" w:hAnsi="Times New Roman"/>
          <w:sz w:val="24"/>
          <w:szCs w:val="24"/>
          <w:lang w:val="fr-FR"/>
        </w:rPr>
        <w:t xml:space="preserve">. Il a réuni </w:t>
      </w:r>
      <w:r w:rsidRPr="00397BBE">
        <w:rPr>
          <w:rFonts w:ascii="Times New Roman" w:hAnsi="Times New Roman"/>
          <w:sz w:val="24"/>
          <w:szCs w:val="24"/>
          <w:lang w:val="fr-FR"/>
        </w:rPr>
        <w:t xml:space="preserve"> un large panel de parties prenantes</w:t>
      </w:r>
      <w:r w:rsidRPr="000C53BC">
        <w:rPr>
          <w:rFonts w:ascii="Times New Roman" w:hAnsi="Times New Roman"/>
          <w:sz w:val="24"/>
          <w:szCs w:val="24"/>
          <w:lang w:val="fr-FR"/>
        </w:rPr>
        <w:t xml:space="preserve"> </w:t>
      </w:r>
      <w:r w:rsidRPr="00397BBE">
        <w:rPr>
          <w:rFonts w:ascii="Times New Roman" w:hAnsi="Times New Roman"/>
          <w:sz w:val="24"/>
          <w:szCs w:val="24"/>
          <w:lang w:val="fr-FR"/>
        </w:rPr>
        <w:t xml:space="preserve"> incluant la Présidence de la République, la Primature, le Ministère des Finances, le Ministère du Travail, le Ministère de la Santé, le Ministère des Télécommunications, l’INAM mais aussi des représentants de</w:t>
      </w:r>
      <w:r>
        <w:rPr>
          <w:rFonts w:ascii="Times New Roman" w:hAnsi="Times New Roman"/>
          <w:sz w:val="24"/>
          <w:szCs w:val="24"/>
          <w:lang w:val="fr-FR"/>
        </w:rPr>
        <w:t>s</w:t>
      </w:r>
      <w:r w:rsidRPr="00397BBE">
        <w:rPr>
          <w:rFonts w:ascii="Times New Roman" w:hAnsi="Times New Roman"/>
          <w:sz w:val="24"/>
          <w:szCs w:val="24"/>
          <w:lang w:val="fr-FR"/>
        </w:rPr>
        <w:t xml:space="preserve"> opérateurs économiques privés et de la société civile des partenaires techniques et financiers multi et bilatéraux. </w:t>
      </w:r>
      <w:r>
        <w:rPr>
          <w:rFonts w:ascii="Times New Roman" w:hAnsi="Times New Roman"/>
          <w:sz w:val="24"/>
          <w:szCs w:val="24"/>
          <w:lang w:val="fr-FR"/>
        </w:rPr>
        <w:t>L’</w:t>
      </w:r>
      <w:r w:rsidRPr="00397BBE">
        <w:rPr>
          <w:rFonts w:ascii="Times New Roman" w:hAnsi="Times New Roman"/>
          <w:sz w:val="24"/>
          <w:szCs w:val="24"/>
          <w:lang w:val="fr-FR"/>
        </w:rPr>
        <w:t xml:space="preserve">atelier </w:t>
      </w:r>
      <w:r>
        <w:rPr>
          <w:rFonts w:ascii="Times New Roman" w:hAnsi="Times New Roman"/>
          <w:sz w:val="24"/>
          <w:szCs w:val="24"/>
          <w:lang w:val="fr-FR"/>
        </w:rPr>
        <w:t>avait pour objectifs de</w:t>
      </w:r>
      <w:r w:rsidRPr="00397BBE">
        <w:rPr>
          <w:rFonts w:ascii="Times New Roman" w:hAnsi="Times New Roman"/>
          <w:sz w:val="24"/>
          <w:szCs w:val="24"/>
          <w:lang w:val="fr-FR"/>
        </w:rPr>
        <w:t xml:space="preserve">: </w:t>
      </w:r>
      <w:r>
        <w:rPr>
          <w:rFonts w:ascii="Times New Roman" w:hAnsi="Times New Roman"/>
          <w:sz w:val="24"/>
          <w:szCs w:val="24"/>
          <w:lang w:val="fr-FR"/>
        </w:rPr>
        <w:t>i</w:t>
      </w:r>
      <w:r w:rsidRPr="00397BBE">
        <w:rPr>
          <w:rFonts w:ascii="Times New Roman" w:hAnsi="Times New Roman"/>
          <w:sz w:val="24"/>
          <w:szCs w:val="24"/>
          <w:lang w:val="fr-FR"/>
        </w:rPr>
        <w:t xml:space="preserve">) initier et guider l’analyse sur le financement innovant et son potentiel à mobiliser les ressources additionnelles intérieures, </w:t>
      </w:r>
      <w:r>
        <w:rPr>
          <w:rFonts w:ascii="Times New Roman" w:hAnsi="Times New Roman"/>
          <w:sz w:val="24"/>
          <w:szCs w:val="24"/>
          <w:lang w:val="fr-FR"/>
        </w:rPr>
        <w:t>ii</w:t>
      </w:r>
      <w:r w:rsidRPr="00397BBE">
        <w:rPr>
          <w:rFonts w:ascii="Times New Roman" w:hAnsi="Times New Roman"/>
          <w:sz w:val="24"/>
          <w:szCs w:val="24"/>
          <w:lang w:val="fr-FR"/>
        </w:rPr>
        <w:t xml:space="preserve">) mener une première réflexion avec les acteurs clés et groupes d’intérêts pour orienter l’étude et enfin, </w:t>
      </w:r>
      <w:r>
        <w:rPr>
          <w:rFonts w:ascii="Times New Roman" w:hAnsi="Times New Roman"/>
          <w:sz w:val="24"/>
          <w:szCs w:val="24"/>
          <w:lang w:val="fr-FR"/>
        </w:rPr>
        <w:t>iii</w:t>
      </w:r>
      <w:r w:rsidRPr="00397BBE">
        <w:rPr>
          <w:rFonts w:ascii="Times New Roman" w:hAnsi="Times New Roman"/>
          <w:sz w:val="24"/>
          <w:szCs w:val="24"/>
          <w:lang w:val="fr-FR"/>
        </w:rPr>
        <w:t xml:space="preserve">) analyser et identifier parmi les 21 mécanismes de financement innovants </w:t>
      </w:r>
      <w:r>
        <w:rPr>
          <w:rFonts w:ascii="Times New Roman" w:hAnsi="Times New Roman"/>
          <w:sz w:val="24"/>
          <w:szCs w:val="24"/>
          <w:lang w:val="fr-FR"/>
        </w:rPr>
        <w:t xml:space="preserve">pour la CSU </w:t>
      </w:r>
      <w:r w:rsidRPr="00397BBE">
        <w:rPr>
          <w:rFonts w:ascii="Times New Roman" w:hAnsi="Times New Roman"/>
          <w:sz w:val="24"/>
          <w:szCs w:val="24"/>
          <w:lang w:val="fr-FR"/>
        </w:rPr>
        <w:t>répertoriés ceux susceptibles d’être retenus pour une a</w:t>
      </w:r>
      <w:r>
        <w:rPr>
          <w:rFonts w:ascii="Times New Roman" w:hAnsi="Times New Roman"/>
          <w:sz w:val="24"/>
          <w:szCs w:val="24"/>
          <w:lang w:val="fr-FR"/>
        </w:rPr>
        <w:t xml:space="preserve">nalyse dans le cadre de l’étude. </w:t>
      </w:r>
    </w:p>
    <w:p w:rsidR="00F21B8E" w:rsidRDefault="00F21B8E" w:rsidP="00F21B8E">
      <w:pPr>
        <w:pStyle w:val="BodyText1"/>
        <w:spacing w:after="0"/>
        <w:jc w:val="both"/>
        <w:rPr>
          <w:rFonts w:ascii="Times New Roman" w:hAnsi="Times New Roman"/>
          <w:sz w:val="24"/>
          <w:szCs w:val="24"/>
          <w:lang w:val="fr-FR"/>
        </w:rPr>
      </w:pPr>
    </w:p>
    <w:p w:rsidR="00F21B8E" w:rsidRPr="00697403" w:rsidRDefault="00F21B8E" w:rsidP="00F21B8E">
      <w:pPr>
        <w:pStyle w:val="BodyText1"/>
        <w:spacing w:after="0" w:line="240" w:lineRule="auto"/>
        <w:jc w:val="both"/>
        <w:rPr>
          <w:rFonts w:ascii="Times New Roman" w:hAnsi="Times New Roman"/>
          <w:sz w:val="24"/>
          <w:szCs w:val="24"/>
          <w:lang w:val="fr-FR"/>
        </w:rPr>
      </w:pPr>
      <w:r w:rsidRPr="00697403">
        <w:rPr>
          <w:rFonts w:ascii="Times New Roman" w:hAnsi="Times New Roman"/>
          <w:sz w:val="24"/>
          <w:szCs w:val="24"/>
          <w:lang w:val="fr-FR"/>
        </w:rPr>
        <w:t>Suite à l’analyse des propositions faites par les différents groupes participants à l’atelier et tenant compte des leçons de l’expérience dans d’autres pays, cinq (5) mécanismes potentiellement intéressants et faisables pour le Togo avaient été finalement retenus pour analyse à savoir : i) la taxe sur les billets d’avion ; ii) la taxe sur les transactions financières (rémittences</w:t>
      </w:r>
      <w:r w:rsidRPr="00697403">
        <w:rPr>
          <w:rFonts w:ascii="Times New Roman" w:hAnsi="Times New Roman"/>
          <w:b/>
          <w:sz w:val="24"/>
          <w:szCs w:val="24"/>
          <w:lang w:val="fr-FR"/>
        </w:rPr>
        <w:t>)</w:t>
      </w:r>
      <w:r w:rsidRPr="00697403">
        <w:rPr>
          <w:rFonts w:ascii="Times New Roman" w:hAnsi="Times New Roman"/>
          <w:sz w:val="24"/>
          <w:szCs w:val="24"/>
          <w:lang w:val="fr-FR"/>
        </w:rPr>
        <w:t>; iii)  la taxe sur les compagnies minières ; iv) la taxe sur l’alcool ; v) la taxe sur la téléphonie mobile.</w:t>
      </w:r>
    </w:p>
    <w:p w:rsidR="00F21B8E" w:rsidRDefault="00F21B8E" w:rsidP="00F21B8E">
      <w:pPr>
        <w:pStyle w:val="BodyText1"/>
        <w:spacing w:after="0"/>
        <w:jc w:val="both"/>
        <w:rPr>
          <w:rFonts w:ascii="Times New Roman" w:hAnsi="Times New Roman"/>
          <w:b/>
          <w:sz w:val="24"/>
          <w:szCs w:val="24"/>
          <w:lang w:val="fr-FR"/>
        </w:rPr>
      </w:pPr>
    </w:p>
    <w:p w:rsidR="00F21B8E" w:rsidRPr="006E659C" w:rsidRDefault="00F21B8E" w:rsidP="00F21B8E">
      <w:pPr>
        <w:pStyle w:val="BodyText1"/>
        <w:spacing w:after="0" w:line="240" w:lineRule="auto"/>
        <w:jc w:val="both"/>
        <w:rPr>
          <w:rFonts w:ascii="Times New Roman" w:hAnsi="Times New Roman"/>
          <w:sz w:val="24"/>
          <w:szCs w:val="24"/>
          <w:lang w:val="fr-FR"/>
        </w:rPr>
      </w:pPr>
      <w:r w:rsidRPr="006E659C">
        <w:rPr>
          <w:rFonts w:ascii="Times New Roman" w:hAnsi="Times New Roman"/>
          <w:sz w:val="24"/>
          <w:szCs w:val="24"/>
          <w:lang w:val="fr-FR"/>
        </w:rPr>
        <w:t>Au cours du premier semestre 2014, une équipe de consultants nationaux et internationaux, conseillée par un groupe de travail interministériel ainsi que par l’OMS, a étudié la faisabilité technique et institutionnelle de ch</w:t>
      </w:r>
      <w:r w:rsidRPr="000B4E2B">
        <w:rPr>
          <w:rFonts w:ascii="Times New Roman" w:hAnsi="Times New Roman"/>
          <w:sz w:val="24"/>
          <w:szCs w:val="24"/>
          <w:lang w:val="fr-FR"/>
        </w:rPr>
        <w:t xml:space="preserve">acun de ces mécanismes </w:t>
      </w:r>
      <w:r w:rsidRPr="006E659C">
        <w:rPr>
          <w:rFonts w:ascii="Times New Roman" w:hAnsi="Times New Roman"/>
          <w:sz w:val="24"/>
          <w:szCs w:val="24"/>
          <w:lang w:val="fr-FR"/>
        </w:rPr>
        <w:t xml:space="preserve">et a produit, quand </w:t>
      </w:r>
      <w:r>
        <w:rPr>
          <w:rFonts w:ascii="Times New Roman" w:hAnsi="Times New Roman"/>
          <w:sz w:val="24"/>
          <w:szCs w:val="24"/>
          <w:lang w:val="fr-FR"/>
        </w:rPr>
        <w:t xml:space="preserve">cela </w:t>
      </w:r>
      <w:r w:rsidRPr="006E659C">
        <w:rPr>
          <w:rFonts w:ascii="Times New Roman" w:hAnsi="Times New Roman"/>
          <w:sz w:val="24"/>
          <w:szCs w:val="24"/>
          <w:lang w:val="fr-FR"/>
        </w:rPr>
        <w:t xml:space="preserve">était possible, des projections sur leurs recettes potentielles dans plusieurs scenarii se basant sur la revue </w:t>
      </w:r>
      <w:r w:rsidRPr="000B4E2B">
        <w:rPr>
          <w:rFonts w:ascii="Times New Roman" w:hAnsi="Times New Roman"/>
          <w:sz w:val="24"/>
          <w:szCs w:val="24"/>
          <w:lang w:val="fr-FR"/>
        </w:rPr>
        <w:t>de la littérature</w:t>
      </w:r>
      <w:r>
        <w:rPr>
          <w:rFonts w:ascii="Times New Roman" w:hAnsi="Times New Roman"/>
          <w:sz w:val="24"/>
          <w:szCs w:val="24"/>
          <w:lang w:val="fr-FR"/>
        </w:rPr>
        <w:t xml:space="preserve"> et</w:t>
      </w:r>
      <w:r w:rsidRPr="006E659C">
        <w:rPr>
          <w:rFonts w:ascii="Times New Roman" w:hAnsi="Times New Roman"/>
          <w:sz w:val="24"/>
          <w:szCs w:val="24"/>
          <w:lang w:val="fr-FR"/>
        </w:rPr>
        <w:t xml:space="preserve"> </w:t>
      </w:r>
      <w:r w:rsidRPr="000B4E2B">
        <w:rPr>
          <w:rFonts w:ascii="Times New Roman" w:hAnsi="Times New Roman"/>
          <w:sz w:val="24"/>
          <w:szCs w:val="24"/>
          <w:lang w:val="fr-FR"/>
        </w:rPr>
        <w:t xml:space="preserve">documentaire ainsi qu’une série d’entretiens semi-structurés réalisés avec les parties prenantes </w:t>
      </w:r>
      <w:r>
        <w:rPr>
          <w:rFonts w:ascii="Times New Roman" w:hAnsi="Times New Roman"/>
          <w:sz w:val="24"/>
          <w:szCs w:val="24"/>
          <w:lang w:val="fr-FR"/>
        </w:rPr>
        <w:t xml:space="preserve">clefs </w:t>
      </w:r>
      <w:r w:rsidRPr="00697403">
        <w:rPr>
          <w:rFonts w:ascii="Times New Roman" w:hAnsi="Times New Roman"/>
          <w:sz w:val="24"/>
          <w:szCs w:val="24"/>
          <w:lang w:val="fr-FR"/>
        </w:rPr>
        <w:t>(ministères concernés, associations professionnelles, etc.)</w:t>
      </w:r>
      <w:r w:rsidRPr="006E659C">
        <w:rPr>
          <w:rFonts w:ascii="Times New Roman" w:hAnsi="Times New Roman"/>
          <w:sz w:val="24"/>
          <w:szCs w:val="24"/>
          <w:lang w:val="fr-FR"/>
        </w:rPr>
        <w:t>.</w:t>
      </w:r>
    </w:p>
    <w:p w:rsidR="00F21B8E" w:rsidRPr="00A7002F" w:rsidRDefault="00F21B8E" w:rsidP="00F21B8E">
      <w:pPr>
        <w:pStyle w:val="BodyText1"/>
        <w:spacing w:after="0" w:line="240" w:lineRule="auto"/>
        <w:jc w:val="both"/>
        <w:rPr>
          <w:rFonts w:ascii="Times New Roman" w:hAnsi="Times New Roman"/>
          <w:sz w:val="24"/>
          <w:szCs w:val="24"/>
          <w:lang w:val="fr-FR"/>
        </w:rPr>
      </w:pPr>
    </w:p>
    <w:p w:rsidR="00F21B8E" w:rsidRPr="0075456F" w:rsidRDefault="00F21B8E" w:rsidP="00F21B8E">
      <w:pPr>
        <w:pStyle w:val="BodyText1"/>
        <w:spacing w:after="0" w:line="240" w:lineRule="auto"/>
        <w:jc w:val="both"/>
        <w:rPr>
          <w:rFonts w:ascii="Times New Roman" w:hAnsi="Times New Roman"/>
          <w:sz w:val="24"/>
          <w:szCs w:val="24"/>
          <w:lang w:val="fr-FR"/>
        </w:rPr>
      </w:pPr>
      <w:r w:rsidRPr="0075456F">
        <w:rPr>
          <w:rFonts w:ascii="Times New Roman" w:hAnsi="Times New Roman"/>
          <w:sz w:val="24"/>
          <w:szCs w:val="24"/>
          <w:lang w:val="fr-FR"/>
        </w:rPr>
        <w:t xml:space="preserve">Les résultats de cette étude ont été présentés lors d’un atelier national de validation les 22 et 23 juillet 2014, en présence d’un large éventail de parties prenantes du financement de la santé au Togo. </w:t>
      </w:r>
    </w:p>
    <w:p w:rsidR="00F21B8E" w:rsidRPr="0011177D" w:rsidRDefault="00F21B8E" w:rsidP="00F21B8E">
      <w:pPr>
        <w:autoSpaceDE w:val="0"/>
        <w:autoSpaceDN w:val="0"/>
        <w:adjustRightInd w:val="0"/>
        <w:jc w:val="both"/>
        <w:rPr>
          <w:rFonts w:ascii="Times New Roman" w:hAnsi="Times New Roman"/>
          <w:sz w:val="24"/>
          <w:szCs w:val="24"/>
          <w:lang w:val="fr-FR"/>
        </w:rPr>
      </w:pPr>
    </w:p>
    <w:p w:rsidR="00F21B8E" w:rsidRDefault="00F21B8E">
      <w:pPr>
        <w:spacing w:after="200" w:line="276" w:lineRule="auto"/>
        <w:rPr>
          <w:rFonts w:ascii="Times New Roman" w:hAnsi="Times New Roman"/>
          <w:b/>
          <w:szCs w:val="22"/>
          <w:lang w:val="fr-FR" w:eastAsia="en-GB"/>
        </w:rPr>
      </w:pPr>
      <w:r>
        <w:rPr>
          <w:rFonts w:ascii="Times New Roman" w:hAnsi="Times New Roman"/>
          <w:b/>
          <w:szCs w:val="22"/>
          <w:lang w:val="fr-FR" w:eastAsia="en-GB"/>
        </w:rPr>
        <w:br w:type="page"/>
      </w:r>
    </w:p>
    <w:p w:rsidR="00F21B8E" w:rsidRPr="0011177D" w:rsidRDefault="00F21B8E" w:rsidP="00F21B8E">
      <w:pPr>
        <w:autoSpaceDE w:val="0"/>
        <w:autoSpaceDN w:val="0"/>
        <w:adjustRightInd w:val="0"/>
        <w:jc w:val="both"/>
        <w:rPr>
          <w:rFonts w:ascii="Times New Roman" w:hAnsi="Times New Roman"/>
          <w:b/>
          <w:szCs w:val="22"/>
          <w:lang w:val="fr-FR" w:eastAsia="en-GB"/>
        </w:rPr>
      </w:pPr>
      <w:r w:rsidRPr="004B08F1">
        <w:rPr>
          <w:rFonts w:ascii="Times New Roman" w:hAnsi="Times New Roman"/>
          <w:b/>
          <w:szCs w:val="22"/>
          <w:lang w:val="fr-FR" w:eastAsia="en-GB"/>
        </w:rPr>
        <w:lastRenderedPageBreak/>
        <w:t xml:space="preserve">Principaux constats /résultats de l’étude </w:t>
      </w:r>
    </w:p>
    <w:p w:rsidR="00F21B8E" w:rsidRDefault="00F21B8E" w:rsidP="00F21B8E">
      <w:pPr>
        <w:pStyle w:val="BodyText1"/>
        <w:spacing w:after="0"/>
        <w:jc w:val="both"/>
        <w:rPr>
          <w:rFonts w:ascii="Times New Roman" w:hAnsi="Times New Roman"/>
          <w:sz w:val="24"/>
          <w:szCs w:val="24"/>
          <w:lang w:val="fr-FR"/>
        </w:rPr>
      </w:pPr>
    </w:p>
    <w:p w:rsidR="00F21B8E" w:rsidRDefault="00F21B8E" w:rsidP="00F21B8E">
      <w:pPr>
        <w:pStyle w:val="BodyText1"/>
        <w:spacing w:after="0"/>
        <w:jc w:val="both"/>
        <w:rPr>
          <w:rFonts w:ascii="Times New Roman" w:hAnsi="Times New Roman"/>
          <w:sz w:val="24"/>
          <w:szCs w:val="24"/>
          <w:lang w:val="fr-FR"/>
        </w:rPr>
      </w:pPr>
      <w:r w:rsidRPr="00697403">
        <w:rPr>
          <w:rFonts w:ascii="Times New Roman" w:hAnsi="Times New Roman"/>
          <w:sz w:val="24"/>
          <w:szCs w:val="24"/>
          <w:lang w:val="fr-FR"/>
        </w:rPr>
        <w:t xml:space="preserve">De l’analyse et des discussions menées avec les </w:t>
      </w:r>
      <w:r w:rsidRPr="00697403">
        <w:rPr>
          <w:rFonts w:ascii="Times New Roman" w:hAnsi="Times New Roman"/>
          <w:color w:val="333333"/>
          <w:sz w:val="24"/>
          <w:szCs w:val="24"/>
          <w:lang w:val="fr-FR"/>
        </w:rPr>
        <w:t>acteurs-clés des différents ministères et groupes d’intérêts</w:t>
      </w:r>
      <w:r>
        <w:rPr>
          <w:rFonts w:ascii="Times New Roman" w:hAnsi="Times New Roman"/>
          <w:color w:val="333333"/>
          <w:sz w:val="24"/>
          <w:szCs w:val="24"/>
          <w:lang w:val="fr-FR"/>
        </w:rPr>
        <w:t>, parties prenantes</w:t>
      </w:r>
      <w:r w:rsidRPr="00697403">
        <w:rPr>
          <w:rFonts w:ascii="Times New Roman" w:hAnsi="Times New Roman"/>
          <w:color w:val="333333"/>
          <w:sz w:val="24"/>
          <w:szCs w:val="24"/>
          <w:lang w:val="fr-FR"/>
        </w:rPr>
        <w:t xml:space="preserve">, il ressort </w:t>
      </w:r>
      <w:r>
        <w:rPr>
          <w:rFonts w:ascii="Times New Roman" w:hAnsi="Times New Roman"/>
          <w:color w:val="333333"/>
          <w:sz w:val="24"/>
          <w:szCs w:val="24"/>
          <w:lang w:val="fr-FR"/>
        </w:rPr>
        <w:t xml:space="preserve">les principaux constats suivants : </w:t>
      </w:r>
    </w:p>
    <w:p w:rsidR="00F21B8E" w:rsidRPr="000B4E2B" w:rsidRDefault="00F21B8E" w:rsidP="00F21B8E">
      <w:pPr>
        <w:pStyle w:val="BodyText1"/>
        <w:spacing w:after="0"/>
        <w:jc w:val="both"/>
        <w:rPr>
          <w:rFonts w:ascii="Times New Roman" w:hAnsi="Times New Roman"/>
          <w:sz w:val="24"/>
          <w:szCs w:val="24"/>
          <w:lang w:val="fr-FR"/>
        </w:rPr>
      </w:pPr>
    </w:p>
    <w:p w:rsidR="00F21B8E" w:rsidRPr="00F45BEE" w:rsidRDefault="00F21B8E" w:rsidP="00F21B8E">
      <w:pPr>
        <w:pStyle w:val="BodyText1"/>
        <w:spacing w:after="120" w:line="240" w:lineRule="auto"/>
        <w:ind w:left="6"/>
        <w:jc w:val="both"/>
        <w:rPr>
          <w:rFonts w:ascii="Times New Roman" w:hAnsi="Times New Roman"/>
          <w:sz w:val="24"/>
          <w:szCs w:val="24"/>
          <w:u w:val="single"/>
          <w:lang w:val="fr-FR"/>
        </w:rPr>
      </w:pPr>
      <w:r w:rsidRPr="00F45BEE">
        <w:rPr>
          <w:rFonts w:ascii="Times New Roman" w:hAnsi="Times New Roman"/>
          <w:sz w:val="24"/>
          <w:szCs w:val="24"/>
          <w:u w:val="single"/>
          <w:lang w:val="fr-FR"/>
        </w:rPr>
        <w:t>Taxe sur les billets d’avion</w:t>
      </w:r>
    </w:p>
    <w:p w:rsidR="00F21B8E" w:rsidRDefault="00F21B8E" w:rsidP="00F21B8E">
      <w:pPr>
        <w:pStyle w:val="BodyText1"/>
        <w:spacing w:after="0" w:line="240" w:lineRule="auto"/>
        <w:ind w:left="3"/>
        <w:jc w:val="both"/>
        <w:rPr>
          <w:rFonts w:ascii="Times New Roman" w:hAnsi="Times New Roman"/>
          <w:sz w:val="24"/>
          <w:szCs w:val="24"/>
          <w:lang w:val="fr-FR"/>
        </w:rPr>
      </w:pPr>
      <w:r>
        <w:rPr>
          <w:rFonts w:ascii="Times New Roman" w:hAnsi="Times New Roman"/>
          <w:sz w:val="24"/>
          <w:szCs w:val="24"/>
          <w:lang w:val="fr-FR"/>
        </w:rPr>
        <w:t>C’est l</w:t>
      </w:r>
      <w:r w:rsidRPr="00F45BEE">
        <w:rPr>
          <w:rFonts w:ascii="Times New Roman" w:hAnsi="Times New Roman"/>
          <w:sz w:val="24"/>
          <w:szCs w:val="24"/>
          <w:lang w:val="fr-FR"/>
        </w:rPr>
        <w:t xml:space="preserve">'un des mécanismes de financement novateurs actuellement mis en œuvre dans un certain nombre de pays. La taxe de solidarité sur les billets d'avion a été </w:t>
      </w:r>
      <w:r>
        <w:rPr>
          <w:rFonts w:ascii="Times New Roman" w:hAnsi="Times New Roman"/>
          <w:sz w:val="24"/>
          <w:szCs w:val="24"/>
          <w:lang w:val="fr-FR"/>
        </w:rPr>
        <w:t xml:space="preserve">essentiellement </w:t>
      </w:r>
      <w:r w:rsidRPr="00F45BEE">
        <w:rPr>
          <w:rFonts w:ascii="Times New Roman" w:hAnsi="Times New Roman"/>
          <w:sz w:val="24"/>
          <w:szCs w:val="24"/>
          <w:lang w:val="fr-FR"/>
        </w:rPr>
        <w:t>utilisée pour contribuer à atténuer ce qui est aujourd'hui perçu comme les effets négatifs de la mondialisation, ainsi que pour le financement des efforts de la lutte contre le VIH/sida</w:t>
      </w:r>
      <w:r>
        <w:rPr>
          <w:rFonts w:ascii="Times New Roman" w:hAnsi="Times New Roman"/>
          <w:sz w:val="24"/>
          <w:szCs w:val="24"/>
          <w:lang w:val="fr-FR"/>
        </w:rPr>
        <w:t>.</w:t>
      </w:r>
    </w:p>
    <w:p w:rsidR="00F21B8E" w:rsidRPr="001D0652" w:rsidRDefault="00F21B8E" w:rsidP="00F21B8E">
      <w:pPr>
        <w:pStyle w:val="BodytextOPM"/>
        <w:spacing w:before="120" w:after="0"/>
        <w:rPr>
          <w:rFonts w:ascii="Times New Roman" w:hAnsi="Times New Roman"/>
          <w:sz w:val="24"/>
          <w:szCs w:val="24"/>
        </w:rPr>
      </w:pPr>
      <w:r w:rsidRPr="001D0652">
        <w:rPr>
          <w:rFonts w:ascii="Times New Roman" w:hAnsi="Times New Roman"/>
          <w:sz w:val="24"/>
          <w:szCs w:val="24"/>
        </w:rPr>
        <w:t>L</w:t>
      </w:r>
      <w:r>
        <w:rPr>
          <w:rFonts w:ascii="Times New Roman" w:hAnsi="Times New Roman"/>
          <w:sz w:val="24"/>
          <w:szCs w:val="24"/>
        </w:rPr>
        <w:t xml:space="preserve">’analyse de faisabilité technique et institutionnelle </w:t>
      </w:r>
      <w:r w:rsidRPr="001D0652">
        <w:rPr>
          <w:rFonts w:ascii="Times New Roman" w:hAnsi="Times New Roman"/>
          <w:sz w:val="24"/>
          <w:szCs w:val="24"/>
        </w:rPr>
        <w:t>suggère qu’une taxe, appliquée à l’achat du billet, est économiquement neutre (un prélèvement minime n'aurait que peu d'effets sur la demande en billets d'avion), progressive</w:t>
      </w:r>
      <w:r>
        <w:rPr>
          <w:rFonts w:ascii="Times New Roman" w:hAnsi="Times New Roman"/>
          <w:sz w:val="24"/>
          <w:szCs w:val="24"/>
        </w:rPr>
        <w:t xml:space="preserve"> (en particulier si la taxe</w:t>
      </w:r>
      <w:r w:rsidRPr="00152756">
        <w:rPr>
          <w:rFonts w:ascii="Times New Roman" w:hAnsi="Times New Roman"/>
          <w:sz w:val="24"/>
          <w:szCs w:val="24"/>
        </w:rPr>
        <w:t xml:space="preserve"> est plus élevée pour les billets en classe affaire et première classe</w:t>
      </w:r>
      <w:r>
        <w:rPr>
          <w:rFonts w:ascii="Times New Roman" w:hAnsi="Times New Roman"/>
          <w:sz w:val="24"/>
          <w:szCs w:val="24"/>
        </w:rPr>
        <w:t>)</w:t>
      </w:r>
      <w:r w:rsidRPr="001D0652">
        <w:rPr>
          <w:rFonts w:ascii="Times New Roman" w:hAnsi="Times New Roman"/>
          <w:sz w:val="24"/>
          <w:szCs w:val="24"/>
        </w:rPr>
        <w:t>, facile à</w:t>
      </w:r>
      <w:r>
        <w:rPr>
          <w:rFonts w:ascii="Times New Roman" w:hAnsi="Times New Roman"/>
          <w:sz w:val="24"/>
          <w:szCs w:val="24"/>
        </w:rPr>
        <w:t xml:space="preserve"> mettre en œuvre</w:t>
      </w:r>
      <w:r w:rsidRPr="001D0652">
        <w:rPr>
          <w:rFonts w:ascii="Times New Roman" w:hAnsi="Times New Roman"/>
          <w:sz w:val="24"/>
          <w:szCs w:val="24"/>
        </w:rPr>
        <w:t xml:space="preserve"> dans le contexte national (des arrangements institutionnels et opérationnels étant en place dans le secteur). Un tel prélèvement s'inscrit dans le long terme et est prévisible</w:t>
      </w:r>
      <w:r>
        <w:rPr>
          <w:rFonts w:ascii="Times New Roman" w:hAnsi="Times New Roman"/>
          <w:sz w:val="24"/>
          <w:szCs w:val="24"/>
        </w:rPr>
        <w:t xml:space="preserve">. En </w:t>
      </w:r>
      <w:proofErr w:type="spellStart"/>
      <w:r>
        <w:rPr>
          <w:rFonts w:ascii="Times New Roman" w:hAnsi="Times New Roman"/>
          <w:sz w:val="24"/>
          <w:szCs w:val="24"/>
        </w:rPr>
        <w:t>effet</w:t>
      </w:r>
      <w:r w:rsidRPr="001D0652">
        <w:rPr>
          <w:rFonts w:ascii="Times New Roman" w:hAnsi="Times New Roman"/>
          <w:sz w:val="24"/>
          <w:szCs w:val="24"/>
        </w:rPr>
        <w:t>les</w:t>
      </w:r>
      <w:proofErr w:type="spellEnd"/>
      <w:r w:rsidRPr="001D0652">
        <w:rPr>
          <w:rFonts w:ascii="Times New Roman" w:hAnsi="Times New Roman"/>
          <w:sz w:val="24"/>
          <w:szCs w:val="24"/>
        </w:rPr>
        <w:t xml:space="preserve"> transports aériens sont en pleine croissance et devraient continuer à progresser au cours des années à venir.</w:t>
      </w:r>
      <w:r>
        <w:rPr>
          <w:rFonts w:ascii="Times New Roman" w:hAnsi="Times New Roman"/>
          <w:sz w:val="24"/>
          <w:szCs w:val="24"/>
        </w:rPr>
        <w:t xml:space="preserve"> Pourtant les investissements en cours visant </w:t>
      </w:r>
      <w:proofErr w:type="spellStart"/>
      <w:proofErr w:type="gramStart"/>
      <w:r>
        <w:rPr>
          <w:rFonts w:ascii="Times New Roman" w:hAnsi="Times New Roman"/>
          <w:sz w:val="24"/>
          <w:szCs w:val="24"/>
        </w:rPr>
        <w:t>a</w:t>
      </w:r>
      <w:proofErr w:type="spellEnd"/>
      <w:proofErr w:type="gramEnd"/>
      <w:r>
        <w:rPr>
          <w:rFonts w:ascii="Times New Roman" w:hAnsi="Times New Roman"/>
          <w:sz w:val="24"/>
          <w:szCs w:val="24"/>
        </w:rPr>
        <w:t xml:space="preserve"> consolider la place de </w:t>
      </w:r>
      <w:proofErr w:type="spellStart"/>
      <w:r>
        <w:rPr>
          <w:rFonts w:ascii="Times New Roman" w:hAnsi="Times New Roman"/>
          <w:sz w:val="24"/>
          <w:szCs w:val="24"/>
        </w:rPr>
        <w:t>Lome</w:t>
      </w:r>
      <w:proofErr w:type="spellEnd"/>
      <w:r>
        <w:rPr>
          <w:rFonts w:ascii="Times New Roman" w:hAnsi="Times New Roman"/>
          <w:sz w:val="24"/>
          <w:szCs w:val="24"/>
        </w:rPr>
        <w:t xml:space="preserve"> comme Hub </w:t>
      </w:r>
      <w:proofErr w:type="spellStart"/>
      <w:r>
        <w:rPr>
          <w:rFonts w:ascii="Times New Roman" w:hAnsi="Times New Roman"/>
          <w:sz w:val="24"/>
          <w:szCs w:val="24"/>
        </w:rPr>
        <w:t>regional</w:t>
      </w:r>
      <w:proofErr w:type="spellEnd"/>
      <w:r>
        <w:rPr>
          <w:rFonts w:ascii="Times New Roman" w:hAnsi="Times New Roman"/>
          <w:sz w:val="24"/>
          <w:szCs w:val="24"/>
        </w:rPr>
        <w:t xml:space="preserve"> au niveau du </w:t>
      </w:r>
      <w:proofErr w:type="spellStart"/>
      <w:r>
        <w:rPr>
          <w:rFonts w:ascii="Times New Roman" w:hAnsi="Times New Roman"/>
          <w:sz w:val="24"/>
          <w:szCs w:val="24"/>
        </w:rPr>
        <w:t>traffic</w:t>
      </w:r>
      <w:proofErr w:type="spellEnd"/>
      <w:r>
        <w:rPr>
          <w:rFonts w:ascii="Times New Roman" w:hAnsi="Times New Roman"/>
          <w:sz w:val="24"/>
          <w:szCs w:val="24"/>
        </w:rPr>
        <w:t xml:space="preserve"> </w:t>
      </w:r>
      <w:proofErr w:type="spellStart"/>
      <w:r>
        <w:rPr>
          <w:rFonts w:ascii="Times New Roman" w:hAnsi="Times New Roman"/>
          <w:sz w:val="24"/>
          <w:szCs w:val="24"/>
        </w:rPr>
        <w:t>aerien</w:t>
      </w:r>
      <w:proofErr w:type="spellEnd"/>
      <w:r>
        <w:rPr>
          <w:rFonts w:ascii="Times New Roman" w:hAnsi="Times New Roman"/>
          <w:sz w:val="24"/>
          <w:szCs w:val="24"/>
        </w:rPr>
        <w:t xml:space="preserve"> </w:t>
      </w:r>
      <w:proofErr w:type="spellStart"/>
      <w:r>
        <w:rPr>
          <w:rFonts w:ascii="Times New Roman" w:hAnsi="Times New Roman"/>
          <w:sz w:val="24"/>
          <w:szCs w:val="24"/>
        </w:rPr>
        <w:t>pese</w:t>
      </w:r>
      <w:proofErr w:type="spellEnd"/>
      <w:r>
        <w:rPr>
          <w:rFonts w:ascii="Times New Roman" w:hAnsi="Times New Roman"/>
          <w:sz w:val="24"/>
          <w:szCs w:val="24"/>
        </w:rPr>
        <w:t xml:space="preserve"> déjà lourdement sur le cout des billets d’avion.</w:t>
      </w:r>
    </w:p>
    <w:p w:rsidR="00F21B8E" w:rsidRDefault="00F21B8E" w:rsidP="00F21B8E">
      <w:pPr>
        <w:pStyle w:val="BodyText1"/>
        <w:spacing w:after="120" w:line="240" w:lineRule="auto"/>
        <w:ind w:left="6"/>
        <w:jc w:val="both"/>
        <w:rPr>
          <w:rFonts w:ascii="Times New Roman" w:hAnsi="Times New Roman"/>
          <w:sz w:val="24"/>
          <w:szCs w:val="24"/>
          <w:u w:val="single"/>
          <w:lang w:val="fr-FR"/>
        </w:rPr>
      </w:pPr>
    </w:p>
    <w:p w:rsidR="00F21B8E" w:rsidRPr="00CE5D82" w:rsidRDefault="00F21B8E" w:rsidP="00F21B8E">
      <w:pPr>
        <w:pStyle w:val="BodyText1"/>
        <w:spacing w:after="120" w:line="240" w:lineRule="auto"/>
        <w:ind w:left="6"/>
        <w:jc w:val="both"/>
        <w:rPr>
          <w:rFonts w:ascii="Times New Roman" w:hAnsi="Times New Roman"/>
          <w:sz w:val="24"/>
          <w:szCs w:val="24"/>
          <w:u w:val="single"/>
          <w:lang w:val="fr-FR"/>
        </w:rPr>
      </w:pPr>
      <w:r w:rsidRPr="00CE5D82">
        <w:rPr>
          <w:rFonts w:ascii="Times New Roman" w:hAnsi="Times New Roman"/>
          <w:sz w:val="24"/>
          <w:szCs w:val="24"/>
          <w:u w:val="single"/>
          <w:lang w:val="fr-FR"/>
        </w:rPr>
        <w:t xml:space="preserve">Taxe sur </w:t>
      </w:r>
      <w:r>
        <w:rPr>
          <w:rFonts w:ascii="Times New Roman" w:hAnsi="Times New Roman"/>
          <w:sz w:val="24"/>
          <w:szCs w:val="24"/>
          <w:u w:val="single"/>
          <w:lang w:val="fr-FR"/>
        </w:rPr>
        <w:t>les ventes d’</w:t>
      </w:r>
      <w:r w:rsidRPr="00CE5D82">
        <w:rPr>
          <w:rFonts w:ascii="Times New Roman" w:hAnsi="Times New Roman"/>
          <w:sz w:val="24"/>
          <w:szCs w:val="24"/>
          <w:u w:val="single"/>
          <w:lang w:val="fr-FR"/>
        </w:rPr>
        <w:t>alcool</w:t>
      </w:r>
    </w:p>
    <w:p w:rsidR="00F21B8E" w:rsidRDefault="00F21B8E" w:rsidP="00F21B8E">
      <w:pPr>
        <w:pStyle w:val="BodyText1"/>
        <w:spacing w:after="0" w:line="240" w:lineRule="auto"/>
        <w:jc w:val="both"/>
        <w:rPr>
          <w:rFonts w:ascii="Times New Roman" w:hAnsi="Times New Roman"/>
          <w:sz w:val="24"/>
          <w:szCs w:val="24"/>
          <w:lang w:val="fr-FR"/>
        </w:rPr>
      </w:pPr>
      <w:r w:rsidRPr="00583B4E">
        <w:rPr>
          <w:rFonts w:ascii="Times New Roman" w:hAnsi="Times New Roman"/>
          <w:sz w:val="24"/>
          <w:szCs w:val="24"/>
          <w:lang w:val="fr-FR"/>
        </w:rPr>
        <w:t xml:space="preserve">Les éléments ci-dessous </w:t>
      </w:r>
      <w:r>
        <w:rPr>
          <w:rFonts w:ascii="Times New Roman" w:hAnsi="Times New Roman"/>
          <w:sz w:val="24"/>
          <w:szCs w:val="24"/>
          <w:lang w:val="fr-FR"/>
        </w:rPr>
        <w:t>indiquent</w:t>
      </w:r>
      <w:r w:rsidRPr="00583B4E">
        <w:rPr>
          <w:rFonts w:ascii="Times New Roman" w:hAnsi="Times New Roman"/>
          <w:sz w:val="24"/>
          <w:szCs w:val="24"/>
          <w:lang w:val="fr-FR"/>
        </w:rPr>
        <w:t xml:space="preserve"> que </w:t>
      </w:r>
      <w:r>
        <w:rPr>
          <w:rFonts w:ascii="Times New Roman" w:hAnsi="Times New Roman"/>
          <w:sz w:val="24"/>
          <w:szCs w:val="24"/>
          <w:lang w:val="fr-FR"/>
        </w:rPr>
        <w:t xml:space="preserve">l’introduction d’une taxe supplémentaire sur </w:t>
      </w:r>
      <w:r w:rsidRPr="00152756">
        <w:rPr>
          <w:rFonts w:ascii="Times New Roman" w:hAnsi="Times New Roman"/>
          <w:sz w:val="24"/>
          <w:szCs w:val="24"/>
          <w:lang w:val="fr-FR"/>
        </w:rPr>
        <w:t xml:space="preserve">les alcools </w:t>
      </w:r>
      <w:r>
        <w:rPr>
          <w:rFonts w:ascii="Times New Roman" w:hAnsi="Times New Roman"/>
          <w:sz w:val="24"/>
          <w:szCs w:val="24"/>
          <w:lang w:val="fr-FR"/>
        </w:rPr>
        <w:t xml:space="preserve">de façon différenciée en vue de </w:t>
      </w:r>
      <w:r w:rsidRPr="00152756">
        <w:rPr>
          <w:rFonts w:ascii="Times New Roman" w:hAnsi="Times New Roman"/>
          <w:sz w:val="24"/>
          <w:szCs w:val="24"/>
          <w:lang w:val="fr-FR"/>
        </w:rPr>
        <w:t xml:space="preserve">financer la </w:t>
      </w:r>
      <w:r>
        <w:rPr>
          <w:rFonts w:ascii="Times New Roman" w:hAnsi="Times New Roman"/>
          <w:sz w:val="24"/>
          <w:szCs w:val="24"/>
          <w:lang w:val="fr-FR"/>
        </w:rPr>
        <w:t>CSU</w:t>
      </w:r>
      <w:r w:rsidRPr="00583B4E">
        <w:rPr>
          <w:rFonts w:ascii="Times New Roman" w:hAnsi="Times New Roman"/>
          <w:sz w:val="24"/>
          <w:szCs w:val="24"/>
          <w:lang w:val="fr-FR"/>
        </w:rPr>
        <w:t xml:space="preserve"> </w:t>
      </w:r>
      <w:r>
        <w:rPr>
          <w:rFonts w:ascii="Times New Roman" w:hAnsi="Times New Roman"/>
          <w:sz w:val="24"/>
          <w:szCs w:val="24"/>
          <w:lang w:val="fr-FR"/>
        </w:rPr>
        <w:t xml:space="preserve">est faisable au Togo et  </w:t>
      </w:r>
      <w:r w:rsidRPr="00152756">
        <w:rPr>
          <w:rFonts w:ascii="Times New Roman" w:hAnsi="Times New Roman"/>
          <w:sz w:val="24"/>
          <w:szCs w:val="24"/>
          <w:lang w:val="fr-FR" w:eastAsia="fr-FR"/>
        </w:rPr>
        <w:t>produir</w:t>
      </w:r>
      <w:r>
        <w:rPr>
          <w:rFonts w:ascii="Times New Roman" w:hAnsi="Times New Roman"/>
          <w:sz w:val="24"/>
          <w:szCs w:val="24"/>
          <w:lang w:val="fr-FR" w:eastAsia="fr-FR"/>
        </w:rPr>
        <w:t xml:space="preserve">ait </w:t>
      </w:r>
      <w:r w:rsidRPr="00152756">
        <w:rPr>
          <w:rFonts w:ascii="Times New Roman" w:hAnsi="Times New Roman"/>
          <w:sz w:val="24"/>
          <w:szCs w:val="24"/>
          <w:lang w:val="fr-FR" w:eastAsia="fr-FR"/>
        </w:rPr>
        <w:t>des revenus pérennes.</w:t>
      </w:r>
    </w:p>
    <w:p w:rsidR="00F21B8E" w:rsidRPr="00A83D93" w:rsidRDefault="00F21B8E" w:rsidP="00F21B8E">
      <w:pPr>
        <w:pStyle w:val="BodyText1"/>
        <w:numPr>
          <w:ilvl w:val="0"/>
          <w:numId w:val="3"/>
        </w:numPr>
        <w:spacing w:after="0" w:line="240" w:lineRule="auto"/>
        <w:rPr>
          <w:rFonts w:ascii="Times New Roman" w:hAnsi="Times New Roman"/>
          <w:sz w:val="24"/>
          <w:szCs w:val="24"/>
          <w:lang w:val="fr-FR"/>
        </w:rPr>
      </w:pPr>
      <w:r w:rsidRPr="00A83D93">
        <w:rPr>
          <w:rFonts w:ascii="Times New Roman" w:hAnsi="Times New Roman"/>
          <w:sz w:val="24"/>
          <w:szCs w:val="24"/>
          <w:lang w:val="fr-FR"/>
        </w:rPr>
        <w:t>Progressivité </w:t>
      </w:r>
      <w:r w:rsidRPr="00152756">
        <w:rPr>
          <w:rFonts w:ascii="Times New Roman" w:hAnsi="Times New Roman"/>
          <w:sz w:val="24"/>
          <w:szCs w:val="24"/>
          <w:lang w:val="fr-FR"/>
        </w:rPr>
        <w:t>: une taxe moindre sur la bière et une plus élevée sur les alcools forts améliorerait la progressivité de cette taxe, comme mis en application dans de nombreux autres pays,</w:t>
      </w:r>
      <w:r>
        <w:rPr>
          <w:rFonts w:ascii="Times New Roman" w:hAnsi="Times New Roman"/>
          <w:sz w:val="24"/>
          <w:szCs w:val="24"/>
          <w:lang w:val="fr-FR"/>
        </w:rPr>
        <w:t xml:space="preserve"> </w:t>
      </w:r>
    </w:p>
    <w:p w:rsidR="00F21B8E" w:rsidRPr="00A83D93" w:rsidRDefault="00F21B8E" w:rsidP="00F21B8E">
      <w:pPr>
        <w:pStyle w:val="BodyText1"/>
        <w:numPr>
          <w:ilvl w:val="0"/>
          <w:numId w:val="3"/>
        </w:numPr>
        <w:spacing w:after="0" w:line="240" w:lineRule="auto"/>
        <w:rPr>
          <w:rFonts w:ascii="Times New Roman" w:hAnsi="Times New Roman"/>
          <w:sz w:val="24"/>
          <w:szCs w:val="24"/>
          <w:lang w:val="fr-FR"/>
        </w:rPr>
      </w:pPr>
      <w:r w:rsidRPr="00A83D93">
        <w:rPr>
          <w:rFonts w:ascii="Times New Roman" w:hAnsi="Times New Roman"/>
          <w:sz w:val="24"/>
          <w:szCs w:val="24"/>
          <w:lang w:val="fr-FR"/>
        </w:rPr>
        <w:t xml:space="preserve">Effets collatéraux : </w:t>
      </w:r>
      <w:r w:rsidRPr="00152756">
        <w:rPr>
          <w:rFonts w:ascii="Times New Roman" w:hAnsi="Times New Roman"/>
          <w:sz w:val="24"/>
          <w:szCs w:val="24"/>
          <w:lang w:val="fr-FR"/>
        </w:rPr>
        <w:t>une augmentation de la taxation sur les alcools pourrait mener à une diminution de la consommation d’alcool comme l’indiqu</w:t>
      </w:r>
      <w:r>
        <w:rPr>
          <w:rFonts w:ascii="Times New Roman" w:hAnsi="Times New Roman"/>
          <w:sz w:val="24"/>
          <w:szCs w:val="24"/>
          <w:lang w:val="fr-FR"/>
        </w:rPr>
        <w:t>e la littérature internationale ; c</w:t>
      </w:r>
      <w:r w:rsidRPr="00152756">
        <w:rPr>
          <w:rFonts w:ascii="Times New Roman" w:hAnsi="Times New Roman"/>
          <w:sz w:val="24"/>
          <w:szCs w:val="24"/>
          <w:lang w:val="fr-FR"/>
        </w:rPr>
        <w:t xml:space="preserve">et impact serait positif sur la santé des </w:t>
      </w:r>
      <w:r>
        <w:rPr>
          <w:rFonts w:ascii="Times New Roman" w:hAnsi="Times New Roman"/>
          <w:sz w:val="24"/>
          <w:szCs w:val="24"/>
          <w:lang w:val="fr-FR"/>
        </w:rPr>
        <w:t>citoyens</w:t>
      </w:r>
      <w:r w:rsidRPr="00152756">
        <w:rPr>
          <w:rFonts w:ascii="Times New Roman" w:hAnsi="Times New Roman"/>
          <w:sz w:val="24"/>
          <w:szCs w:val="24"/>
          <w:lang w:val="fr-FR"/>
        </w:rPr>
        <w:t xml:space="preserve">. </w:t>
      </w:r>
    </w:p>
    <w:p w:rsidR="00F21B8E" w:rsidRPr="00A83D93" w:rsidRDefault="00F21B8E" w:rsidP="00F21B8E">
      <w:pPr>
        <w:pStyle w:val="BodyText1"/>
        <w:numPr>
          <w:ilvl w:val="0"/>
          <w:numId w:val="3"/>
        </w:numPr>
        <w:spacing w:after="0" w:line="240" w:lineRule="auto"/>
        <w:rPr>
          <w:rFonts w:ascii="Times New Roman" w:hAnsi="Times New Roman"/>
          <w:sz w:val="24"/>
          <w:szCs w:val="24"/>
          <w:lang w:val="fr-FR"/>
        </w:rPr>
      </w:pPr>
      <w:r w:rsidRPr="00A83D93">
        <w:rPr>
          <w:rFonts w:ascii="Times New Roman" w:hAnsi="Times New Roman"/>
          <w:sz w:val="24"/>
          <w:szCs w:val="24"/>
          <w:lang w:val="fr-FR"/>
        </w:rPr>
        <w:t xml:space="preserve">Pérennité : </w:t>
      </w:r>
      <w:r w:rsidRPr="00152756">
        <w:rPr>
          <w:rFonts w:ascii="Times New Roman" w:hAnsi="Times New Roman"/>
          <w:sz w:val="24"/>
          <w:szCs w:val="24"/>
          <w:lang w:val="fr-FR"/>
        </w:rPr>
        <w:t xml:space="preserve">les </w:t>
      </w:r>
      <w:r>
        <w:rPr>
          <w:rFonts w:ascii="Times New Roman" w:hAnsi="Times New Roman"/>
          <w:sz w:val="24"/>
          <w:szCs w:val="24"/>
          <w:lang w:val="fr-FR"/>
        </w:rPr>
        <w:t>t</w:t>
      </w:r>
      <w:r w:rsidRPr="00152756">
        <w:rPr>
          <w:rFonts w:ascii="Times New Roman" w:hAnsi="Times New Roman"/>
          <w:sz w:val="24"/>
          <w:szCs w:val="24"/>
          <w:lang w:val="fr-FR"/>
        </w:rPr>
        <w:t>ogolais ne sont pas de gros consommateurs d’alcool mais il est raisonnable de supposer que cette consommation continuera à progresser dans le long terme</w:t>
      </w:r>
      <w:r>
        <w:rPr>
          <w:rFonts w:ascii="Times New Roman" w:hAnsi="Times New Roman"/>
          <w:sz w:val="24"/>
          <w:szCs w:val="24"/>
          <w:lang w:val="fr-FR"/>
        </w:rPr>
        <w:t>, tenant compte de l’augmentation de la population.</w:t>
      </w:r>
    </w:p>
    <w:p w:rsidR="00F21B8E" w:rsidRPr="00A83D93" w:rsidRDefault="00F21B8E" w:rsidP="00F21B8E">
      <w:pPr>
        <w:pStyle w:val="BodyText1"/>
        <w:numPr>
          <w:ilvl w:val="0"/>
          <w:numId w:val="3"/>
        </w:numPr>
        <w:spacing w:after="0" w:line="240" w:lineRule="auto"/>
        <w:rPr>
          <w:rFonts w:ascii="Times New Roman" w:hAnsi="Times New Roman"/>
          <w:sz w:val="24"/>
          <w:szCs w:val="24"/>
          <w:lang w:val="fr-FR"/>
        </w:rPr>
      </w:pPr>
      <w:r w:rsidRPr="00A83D93">
        <w:rPr>
          <w:rFonts w:ascii="Times New Roman" w:hAnsi="Times New Roman"/>
          <w:sz w:val="24"/>
          <w:szCs w:val="24"/>
          <w:lang w:val="fr-FR"/>
        </w:rPr>
        <w:t xml:space="preserve">Gouvernance : </w:t>
      </w:r>
      <w:r w:rsidRPr="00152756">
        <w:rPr>
          <w:rFonts w:ascii="Times New Roman" w:hAnsi="Times New Roman"/>
          <w:sz w:val="24"/>
          <w:szCs w:val="24"/>
          <w:lang w:val="fr-FR"/>
        </w:rPr>
        <w:t>le Ministère du commerce et la DGI récoltent déjà des taxes sur les importations et production d’alcool. Une taxe supplémentaire serait donc facile à implémenter et à gérer.</w:t>
      </w:r>
    </w:p>
    <w:p w:rsidR="00F21B8E" w:rsidRPr="00A83D93" w:rsidRDefault="00F21B8E" w:rsidP="00F21B8E">
      <w:pPr>
        <w:pStyle w:val="BodyText1"/>
        <w:numPr>
          <w:ilvl w:val="0"/>
          <w:numId w:val="3"/>
        </w:numPr>
        <w:spacing w:after="0" w:line="240" w:lineRule="auto"/>
        <w:rPr>
          <w:rFonts w:ascii="Times New Roman" w:hAnsi="Times New Roman"/>
          <w:sz w:val="24"/>
          <w:szCs w:val="24"/>
          <w:lang w:val="fr-FR"/>
        </w:rPr>
      </w:pPr>
      <w:r w:rsidRPr="00A83D93">
        <w:rPr>
          <w:rFonts w:ascii="Times New Roman" w:hAnsi="Times New Roman"/>
          <w:sz w:val="24"/>
          <w:szCs w:val="24"/>
          <w:lang w:val="fr-FR"/>
        </w:rPr>
        <w:t xml:space="preserve">Faisabilité politique : </w:t>
      </w:r>
      <w:r>
        <w:rPr>
          <w:rFonts w:ascii="Times New Roman" w:hAnsi="Times New Roman"/>
          <w:sz w:val="24"/>
          <w:szCs w:val="24"/>
          <w:lang w:val="fr-FR"/>
        </w:rPr>
        <w:t xml:space="preserve">Le Togo est en deçà des taux de taxation </w:t>
      </w:r>
      <w:r w:rsidRPr="00152756">
        <w:rPr>
          <w:rFonts w:ascii="Times New Roman" w:hAnsi="Times New Roman"/>
          <w:sz w:val="24"/>
          <w:szCs w:val="24"/>
          <w:lang w:val="fr-FR" w:eastAsia="fr-FR"/>
        </w:rPr>
        <w:t>applicables sur la bière et l’alcool</w:t>
      </w:r>
      <w:r>
        <w:rPr>
          <w:rFonts w:ascii="Times New Roman" w:hAnsi="Times New Roman"/>
          <w:sz w:val="24"/>
          <w:szCs w:val="24"/>
          <w:lang w:val="fr-FR" w:eastAsia="fr-FR"/>
        </w:rPr>
        <w:t xml:space="preserve"> au niveau régional; des </w:t>
      </w:r>
      <w:r>
        <w:rPr>
          <w:rFonts w:ascii="Times New Roman" w:hAnsi="Times New Roman"/>
          <w:sz w:val="24"/>
          <w:szCs w:val="24"/>
          <w:lang w:val="fr-FR"/>
        </w:rPr>
        <w:t xml:space="preserve">réticences existent mais </w:t>
      </w:r>
      <w:r w:rsidRPr="00152756">
        <w:rPr>
          <w:rFonts w:ascii="Times New Roman" w:hAnsi="Times New Roman"/>
          <w:sz w:val="24"/>
          <w:szCs w:val="24"/>
          <w:lang w:val="fr-FR"/>
        </w:rPr>
        <w:t xml:space="preserve">ne sont pas insurmontables et ne devraient pas représenter une barrière importante à l’introduction de cette taxe supplémentaire. </w:t>
      </w:r>
    </w:p>
    <w:p w:rsidR="00F21B8E" w:rsidRDefault="00F21B8E" w:rsidP="00F21B8E">
      <w:pPr>
        <w:pStyle w:val="BodytextOPM"/>
        <w:spacing w:after="0"/>
        <w:rPr>
          <w:rFonts w:ascii="Times New Roman" w:hAnsi="Times New Roman"/>
          <w:sz w:val="24"/>
          <w:szCs w:val="24"/>
        </w:rPr>
      </w:pPr>
    </w:p>
    <w:p w:rsidR="00F21B8E" w:rsidRPr="00544B29" w:rsidRDefault="00F21B8E" w:rsidP="00F21B8E">
      <w:pPr>
        <w:pStyle w:val="BodyText1"/>
        <w:spacing w:after="120" w:line="240" w:lineRule="auto"/>
        <w:ind w:left="6"/>
        <w:jc w:val="both"/>
        <w:rPr>
          <w:rFonts w:ascii="Times New Roman" w:hAnsi="Times New Roman"/>
          <w:sz w:val="24"/>
          <w:szCs w:val="24"/>
          <w:u w:val="single"/>
          <w:lang w:val="fr-FR"/>
        </w:rPr>
      </w:pPr>
      <w:r w:rsidRPr="00544B29">
        <w:rPr>
          <w:rFonts w:ascii="Times New Roman" w:hAnsi="Times New Roman"/>
          <w:sz w:val="24"/>
          <w:szCs w:val="24"/>
          <w:u w:val="single"/>
          <w:lang w:val="fr-FR"/>
        </w:rPr>
        <w:t>Taxe sur la téléphonie</w:t>
      </w:r>
    </w:p>
    <w:p w:rsidR="00F21B8E" w:rsidRDefault="00F21B8E" w:rsidP="00F21B8E">
      <w:pPr>
        <w:jc w:val="both"/>
        <w:rPr>
          <w:rFonts w:ascii="Times New Roman" w:hAnsi="Times New Roman"/>
          <w:sz w:val="24"/>
          <w:szCs w:val="24"/>
          <w:lang w:val="fr-FR"/>
        </w:rPr>
      </w:pPr>
      <w:r w:rsidRPr="00152756">
        <w:rPr>
          <w:rFonts w:ascii="Times New Roman" w:hAnsi="Times New Roman"/>
          <w:sz w:val="24"/>
          <w:szCs w:val="24"/>
          <w:lang w:val="fr-FR"/>
        </w:rPr>
        <w:t>Il s’agit d’appliquer une taxe sur le trafic de communication tenant compte de la pratique dans les autres pays et aussi de la sensibilité des populations. Le mécanisme ne concerne que la téléphonie mobile et le fixe portable illico.</w:t>
      </w:r>
      <w:r>
        <w:rPr>
          <w:rFonts w:ascii="Times New Roman" w:hAnsi="Times New Roman"/>
          <w:sz w:val="24"/>
          <w:szCs w:val="24"/>
          <w:lang w:val="fr-FR"/>
        </w:rPr>
        <w:t xml:space="preserve"> </w:t>
      </w:r>
    </w:p>
    <w:p w:rsidR="00F21B8E" w:rsidRPr="00963ED5" w:rsidRDefault="00F21B8E" w:rsidP="00F21B8E">
      <w:pPr>
        <w:pStyle w:val="BodyText1"/>
        <w:spacing w:after="0" w:line="240" w:lineRule="auto"/>
        <w:jc w:val="both"/>
        <w:rPr>
          <w:rFonts w:ascii="Times New Roman" w:hAnsi="Times New Roman"/>
          <w:sz w:val="24"/>
          <w:szCs w:val="24"/>
          <w:lang w:val="fr-FR"/>
        </w:rPr>
      </w:pPr>
      <w:r w:rsidRPr="00152756">
        <w:rPr>
          <w:rFonts w:ascii="Times New Roman" w:hAnsi="Times New Roman"/>
          <w:sz w:val="24"/>
          <w:szCs w:val="24"/>
          <w:lang w:val="fr-FR"/>
        </w:rPr>
        <w:t>En comparant le Togo avec d’autres pays de l’UEMOA, il ressort que le Togo est dans la moyenne en matière de tarifs appliqués</w:t>
      </w:r>
      <w:r>
        <w:rPr>
          <w:rFonts w:ascii="Times New Roman" w:hAnsi="Times New Roman"/>
          <w:sz w:val="24"/>
          <w:szCs w:val="24"/>
          <w:lang w:val="fr-FR"/>
        </w:rPr>
        <w:t xml:space="preserve"> ; le sentiment d’une surtaxe des télécommunications au Togo semble exagéré. De plus, les données quantitatives et les projections effectuées </w:t>
      </w:r>
      <w:r w:rsidRPr="00963ED5">
        <w:rPr>
          <w:rFonts w:ascii="Times New Roman" w:hAnsi="Times New Roman"/>
          <w:sz w:val="24"/>
          <w:szCs w:val="24"/>
          <w:lang w:val="fr-FR"/>
        </w:rPr>
        <w:lastRenderedPageBreak/>
        <w:t xml:space="preserve">indiquent que l’introduction d’une taxe minime de 1 FCFA par minute sur le temps de communication  </w:t>
      </w:r>
      <w:r w:rsidRPr="00963ED5">
        <w:rPr>
          <w:rFonts w:ascii="Times New Roman" w:hAnsi="Times New Roman"/>
          <w:sz w:val="24"/>
          <w:szCs w:val="24"/>
          <w:lang w:val="fr-FR" w:eastAsia="fr-FR"/>
        </w:rPr>
        <w:t xml:space="preserve">serait parfaitement justifiable. Une telle taxe </w:t>
      </w:r>
      <w:r w:rsidRPr="00963ED5">
        <w:rPr>
          <w:rFonts w:ascii="Times New Roman" w:hAnsi="Times New Roman"/>
          <w:sz w:val="24"/>
          <w:szCs w:val="24"/>
          <w:lang w:val="fr-FR"/>
        </w:rPr>
        <w:t xml:space="preserve">serait mieux reçue et devrait constituée une source de revenus importants pour le financement de la santé dans le contexte national. </w:t>
      </w:r>
    </w:p>
    <w:p w:rsidR="00F21B8E" w:rsidRDefault="00F21B8E" w:rsidP="00F21B8E">
      <w:pPr>
        <w:pStyle w:val="BodyText1"/>
        <w:spacing w:after="0" w:line="240" w:lineRule="auto"/>
        <w:ind w:left="3"/>
        <w:jc w:val="both"/>
        <w:rPr>
          <w:rFonts w:ascii="Times New Roman" w:hAnsi="Times New Roman"/>
          <w:sz w:val="24"/>
          <w:szCs w:val="24"/>
          <w:lang w:val="fr-FR"/>
        </w:rPr>
      </w:pPr>
    </w:p>
    <w:p w:rsidR="00F21B8E" w:rsidRPr="00462970" w:rsidRDefault="00F21B8E" w:rsidP="00F21B8E">
      <w:pPr>
        <w:pStyle w:val="BodyText1"/>
        <w:spacing w:after="120" w:line="240" w:lineRule="auto"/>
        <w:ind w:left="6"/>
        <w:jc w:val="both"/>
        <w:rPr>
          <w:rFonts w:ascii="Times New Roman" w:hAnsi="Times New Roman"/>
          <w:sz w:val="24"/>
          <w:szCs w:val="24"/>
          <w:u w:val="single"/>
          <w:lang w:val="fr-FR"/>
        </w:rPr>
      </w:pPr>
      <w:r w:rsidRPr="00462970">
        <w:rPr>
          <w:rFonts w:ascii="Times New Roman" w:hAnsi="Times New Roman"/>
          <w:sz w:val="24"/>
          <w:szCs w:val="24"/>
          <w:u w:val="single"/>
          <w:lang w:val="fr-FR"/>
        </w:rPr>
        <w:t>Taxe sur les transferts de fonds</w:t>
      </w:r>
    </w:p>
    <w:p w:rsidR="00F21B8E" w:rsidRDefault="00F21B8E" w:rsidP="00F21B8E">
      <w:pPr>
        <w:jc w:val="both"/>
        <w:rPr>
          <w:rFonts w:ascii="Times New Roman" w:hAnsi="Times New Roman"/>
          <w:sz w:val="24"/>
          <w:szCs w:val="24"/>
          <w:lang w:val="fr-FR"/>
        </w:rPr>
      </w:pPr>
      <w:r w:rsidRPr="00152756">
        <w:rPr>
          <w:rFonts w:ascii="Times New Roman" w:hAnsi="Times New Roman"/>
          <w:sz w:val="24"/>
          <w:szCs w:val="24"/>
          <w:lang w:val="fr-FR"/>
        </w:rPr>
        <w:t xml:space="preserve">Différents types </w:t>
      </w:r>
      <w:r>
        <w:rPr>
          <w:rFonts w:ascii="Times New Roman" w:hAnsi="Times New Roman"/>
          <w:sz w:val="24"/>
          <w:szCs w:val="24"/>
          <w:lang w:val="fr-FR"/>
        </w:rPr>
        <w:t xml:space="preserve">de </w:t>
      </w:r>
      <w:r w:rsidRPr="00152756">
        <w:rPr>
          <w:rFonts w:ascii="Times New Roman" w:hAnsi="Times New Roman"/>
          <w:sz w:val="24"/>
          <w:szCs w:val="24"/>
          <w:lang w:val="fr-FR"/>
        </w:rPr>
        <w:t>tra</w:t>
      </w:r>
      <w:r>
        <w:rPr>
          <w:rFonts w:ascii="Times New Roman" w:hAnsi="Times New Roman"/>
          <w:sz w:val="24"/>
          <w:szCs w:val="24"/>
          <w:lang w:val="fr-FR"/>
        </w:rPr>
        <w:t xml:space="preserve">nsactions financières sont répertoriés mais l’analyse s’est  principalement centrée sur </w:t>
      </w:r>
      <w:r w:rsidRPr="00152756">
        <w:rPr>
          <w:rFonts w:ascii="Times New Roman" w:hAnsi="Times New Roman"/>
          <w:sz w:val="24"/>
          <w:szCs w:val="24"/>
          <w:lang w:val="fr-FR"/>
        </w:rPr>
        <w:t xml:space="preserve">les </w:t>
      </w:r>
      <w:r w:rsidRPr="00152756">
        <w:rPr>
          <w:rFonts w:ascii="Times New Roman" w:hAnsi="Times New Roman"/>
          <w:i/>
          <w:sz w:val="24"/>
          <w:szCs w:val="24"/>
          <w:lang w:val="fr-FR"/>
        </w:rPr>
        <w:t>rémittences</w:t>
      </w:r>
      <w:r w:rsidRPr="00152756">
        <w:rPr>
          <w:rFonts w:ascii="Times New Roman" w:hAnsi="Times New Roman"/>
          <w:sz w:val="24"/>
          <w:szCs w:val="24"/>
          <w:lang w:val="fr-FR"/>
        </w:rPr>
        <w:t xml:space="preserve"> (transferts de fonds de l’international vers le national)</w:t>
      </w:r>
      <w:r>
        <w:rPr>
          <w:rFonts w:ascii="Times New Roman" w:hAnsi="Times New Roman"/>
          <w:sz w:val="24"/>
          <w:szCs w:val="24"/>
          <w:lang w:val="fr-FR"/>
        </w:rPr>
        <w:t xml:space="preserve">. </w:t>
      </w:r>
    </w:p>
    <w:p w:rsidR="00F21B8E" w:rsidRPr="0019013E" w:rsidRDefault="00F21B8E" w:rsidP="00F21B8E">
      <w:pPr>
        <w:pStyle w:val="BodyText1"/>
        <w:spacing w:after="0" w:line="240" w:lineRule="auto"/>
        <w:ind w:left="3"/>
        <w:jc w:val="both"/>
        <w:rPr>
          <w:rFonts w:ascii="Times New Roman" w:hAnsi="Times New Roman"/>
          <w:sz w:val="24"/>
          <w:szCs w:val="24"/>
          <w:lang w:val="fr-FR"/>
        </w:rPr>
      </w:pPr>
      <w:r w:rsidRPr="0019013E">
        <w:rPr>
          <w:rFonts w:ascii="Times New Roman" w:hAnsi="Times New Roman"/>
          <w:sz w:val="24"/>
          <w:szCs w:val="24"/>
          <w:lang w:val="fr-FR"/>
        </w:rPr>
        <w:t xml:space="preserve">Il semble que taxer les transferts d’argent au niveau national peut avoir un impact négatif sur les plus pauvres qui sont en grande majorité récepteurs de ces fonds transférés et  le fait que près de 40% des transferts soient utilisés pour la consommation courante ou des dépenses de santé ou d’éducation suggère qu’augmenter les taxes sur ces transferts pourrait avoir un impact négatif sur la population. Imposer une taxe sur un secteur encore jeune est généralement source de tensions politiques. Par ailleurs, cette taxe </w:t>
      </w:r>
      <w:r>
        <w:rPr>
          <w:rFonts w:ascii="Times New Roman" w:hAnsi="Times New Roman"/>
          <w:sz w:val="24"/>
          <w:szCs w:val="24"/>
          <w:lang w:val="fr-FR"/>
        </w:rPr>
        <w:t xml:space="preserve">pourrait encourager </w:t>
      </w:r>
      <w:r w:rsidRPr="0019013E">
        <w:rPr>
          <w:rFonts w:ascii="Times New Roman" w:hAnsi="Times New Roman"/>
          <w:sz w:val="24"/>
          <w:szCs w:val="24"/>
          <w:lang w:val="fr-FR"/>
        </w:rPr>
        <w:t>à l’u</w:t>
      </w:r>
      <w:r>
        <w:rPr>
          <w:rFonts w:ascii="Times New Roman" w:hAnsi="Times New Roman"/>
          <w:sz w:val="24"/>
          <w:szCs w:val="24"/>
          <w:lang w:val="fr-FR"/>
        </w:rPr>
        <w:t xml:space="preserve">tilisation du secteur informel. </w:t>
      </w:r>
    </w:p>
    <w:p w:rsidR="00F21B8E" w:rsidRPr="00583B4E" w:rsidRDefault="00F21B8E" w:rsidP="00F21B8E">
      <w:pPr>
        <w:pStyle w:val="BodyText1"/>
        <w:spacing w:before="120" w:after="0" w:line="240" w:lineRule="auto"/>
        <w:ind w:left="6"/>
        <w:jc w:val="both"/>
        <w:rPr>
          <w:rFonts w:ascii="Times New Roman" w:hAnsi="Times New Roman"/>
          <w:sz w:val="24"/>
          <w:szCs w:val="24"/>
          <w:lang w:val="fr-FR"/>
        </w:rPr>
      </w:pPr>
      <w:r w:rsidRPr="00330E17">
        <w:rPr>
          <w:rFonts w:ascii="Times New Roman" w:hAnsi="Times New Roman"/>
          <w:sz w:val="24"/>
          <w:szCs w:val="24"/>
          <w:lang w:val="fr-FR"/>
        </w:rPr>
        <w:t>Considérant l’impact potentiellement régressif de cette taxe</w:t>
      </w:r>
      <w:r>
        <w:rPr>
          <w:rFonts w:ascii="Times New Roman" w:hAnsi="Times New Roman"/>
          <w:sz w:val="24"/>
          <w:szCs w:val="24"/>
          <w:lang w:val="fr-FR"/>
        </w:rPr>
        <w:t xml:space="preserve"> et</w:t>
      </w:r>
      <w:r w:rsidRPr="00330E17">
        <w:rPr>
          <w:rFonts w:ascii="Times New Roman" w:hAnsi="Times New Roman"/>
          <w:sz w:val="24"/>
          <w:szCs w:val="24"/>
          <w:lang w:val="fr-FR"/>
        </w:rPr>
        <w:t xml:space="preserve"> </w:t>
      </w:r>
      <w:r>
        <w:rPr>
          <w:rFonts w:ascii="Times New Roman" w:hAnsi="Times New Roman"/>
          <w:sz w:val="24"/>
          <w:szCs w:val="24"/>
          <w:lang w:val="fr-FR"/>
        </w:rPr>
        <w:t xml:space="preserve">sa faiblesse en terme de faisabilité technique et institutionnelle, l’étude a conclu </w:t>
      </w:r>
      <w:r w:rsidRPr="00330E17">
        <w:rPr>
          <w:rFonts w:ascii="Times New Roman" w:hAnsi="Times New Roman"/>
          <w:sz w:val="24"/>
          <w:szCs w:val="24"/>
          <w:lang w:val="fr-FR"/>
        </w:rPr>
        <w:t xml:space="preserve">de ne pas implémenter ce mécanisme. En revanche, d’autres transactions financières </w:t>
      </w:r>
      <w:r>
        <w:rPr>
          <w:rFonts w:ascii="Times New Roman" w:hAnsi="Times New Roman"/>
          <w:sz w:val="24"/>
          <w:szCs w:val="24"/>
          <w:lang w:val="fr-FR"/>
        </w:rPr>
        <w:t>pourraient</w:t>
      </w:r>
      <w:r w:rsidRPr="00330E17">
        <w:rPr>
          <w:rFonts w:ascii="Times New Roman" w:hAnsi="Times New Roman"/>
          <w:sz w:val="24"/>
          <w:szCs w:val="24"/>
          <w:lang w:val="fr-FR"/>
        </w:rPr>
        <w:t xml:space="preserve"> être</w:t>
      </w:r>
      <w:r>
        <w:rPr>
          <w:rFonts w:ascii="Times New Roman" w:hAnsi="Times New Roman"/>
          <w:sz w:val="24"/>
          <w:szCs w:val="24"/>
          <w:lang w:val="fr-FR"/>
        </w:rPr>
        <w:t xml:space="preserve"> </w:t>
      </w:r>
      <w:r w:rsidRPr="00330E17">
        <w:rPr>
          <w:rFonts w:ascii="Times New Roman" w:hAnsi="Times New Roman"/>
          <w:sz w:val="24"/>
          <w:szCs w:val="24"/>
          <w:lang w:val="fr-FR"/>
        </w:rPr>
        <w:t>analysées afin de déterminer leur potentiel.</w:t>
      </w:r>
    </w:p>
    <w:p w:rsidR="00F21B8E" w:rsidRDefault="00F21B8E" w:rsidP="00F21B8E">
      <w:pPr>
        <w:jc w:val="both"/>
        <w:rPr>
          <w:rFonts w:ascii="Times New Roman" w:hAnsi="Times New Roman"/>
          <w:sz w:val="24"/>
          <w:szCs w:val="24"/>
          <w:lang w:val="fr-FR"/>
        </w:rPr>
      </w:pPr>
    </w:p>
    <w:p w:rsidR="00F21B8E" w:rsidRPr="0019013E" w:rsidRDefault="00F21B8E" w:rsidP="00F21B8E">
      <w:pPr>
        <w:pStyle w:val="BodyText1"/>
        <w:spacing w:after="120" w:line="240" w:lineRule="auto"/>
        <w:ind w:left="6"/>
        <w:jc w:val="both"/>
        <w:rPr>
          <w:rFonts w:ascii="Times New Roman" w:hAnsi="Times New Roman"/>
          <w:sz w:val="24"/>
          <w:szCs w:val="24"/>
          <w:u w:val="single"/>
          <w:lang w:val="fr-FR"/>
        </w:rPr>
      </w:pPr>
      <w:r w:rsidRPr="0019013E">
        <w:rPr>
          <w:rFonts w:ascii="Times New Roman" w:hAnsi="Times New Roman"/>
          <w:sz w:val="24"/>
          <w:szCs w:val="24"/>
          <w:u w:val="single"/>
          <w:lang w:val="fr-FR"/>
        </w:rPr>
        <w:t>Taxe sur les ressources minières</w:t>
      </w:r>
    </w:p>
    <w:p w:rsidR="00F21B8E" w:rsidRDefault="00F21B8E" w:rsidP="00F21B8E">
      <w:pPr>
        <w:jc w:val="both"/>
        <w:rPr>
          <w:rFonts w:ascii="Times New Roman" w:hAnsi="Times New Roman"/>
          <w:sz w:val="24"/>
          <w:szCs w:val="24"/>
          <w:lang w:val="fr-FR" w:eastAsia="fr-FR"/>
        </w:rPr>
      </w:pPr>
      <w:r w:rsidRPr="008F1964">
        <w:rPr>
          <w:rFonts w:ascii="Times New Roman" w:hAnsi="Times New Roman"/>
          <w:sz w:val="24"/>
          <w:szCs w:val="24"/>
          <w:lang w:val="fr-FR" w:eastAsia="fr-FR"/>
        </w:rPr>
        <w:t>L</w:t>
      </w:r>
      <w:r>
        <w:rPr>
          <w:rFonts w:ascii="Times New Roman" w:hAnsi="Times New Roman"/>
          <w:sz w:val="24"/>
          <w:szCs w:val="24"/>
          <w:lang w:val="fr-FR" w:eastAsia="fr-FR"/>
        </w:rPr>
        <w:t xml:space="preserve">’introduction </w:t>
      </w:r>
      <w:r w:rsidRPr="008F1964">
        <w:rPr>
          <w:rFonts w:ascii="Times New Roman" w:hAnsi="Times New Roman"/>
          <w:sz w:val="24"/>
          <w:szCs w:val="24"/>
          <w:lang w:val="fr-FR" w:eastAsia="fr-FR"/>
        </w:rPr>
        <w:t xml:space="preserve">d’une taxe supplémentaire sur les ressources minières </w:t>
      </w:r>
      <w:r w:rsidRPr="00152756">
        <w:rPr>
          <w:rFonts w:ascii="Times New Roman" w:hAnsi="Times New Roman"/>
          <w:sz w:val="24"/>
          <w:szCs w:val="24"/>
          <w:lang w:val="fr-FR"/>
        </w:rPr>
        <w:t xml:space="preserve">n’est pas envisageable </w:t>
      </w:r>
      <w:r>
        <w:rPr>
          <w:rFonts w:ascii="Times New Roman" w:hAnsi="Times New Roman"/>
          <w:sz w:val="24"/>
          <w:szCs w:val="24"/>
          <w:lang w:val="fr-FR" w:eastAsia="fr-FR"/>
        </w:rPr>
        <w:t xml:space="preserve">dans le contexte national actuel </w:t>
      </w:r>
      <w:r w:rsidRPr="008F1964">
        <w:rPr>
          <w:rFonts w:ascii="Times New Roman" w:hAnsi="Times New Roman"/>
          <w:sz w:val="24"/>
          <w:szCs w:val="24"/>
          <w:lang w:val="fr-FR" w:eastAsia="fr-FR"/>
        </w:rPr>
        <w:t xml:space="preserve">puisqu’aucun mécanisme n’est encore véritablement en place pour récolter les taxes déjà dues par les sociétés extractives. </w:t>
      </w:r>
    </w:p>
    <w:p w:rsidR="00F21B8E" w:rsidRDefault="00F21B8E" w:rsidP="00F21B8E">
      <w:pPr>
        <w:jc w:val="both"/>
        <w:rPr>
          <w:rFonts w:ascii="Times New Roman" w:hAnsi="Times New Roman"/>
          <w:sz w:val="24"/>
          <w:szCs w:val="24"/>
          <w:lang w:val="fr-FR" w:eastAsia="fr-FR"/>
        </w:rPr>
      </w:pPr>
      <w:r>
        <w:rPr>
          <w:rFonts w:ascii="Times New Roman" w:hAnsi="Times New Roman"/>
          <w:sz w:val="24"/>
          <w:szCs w:val="24"/>
          <w:lang w:val="fr-FR" w:eastAsia="fr-FR"/>
        </w:rPr>
        <w:t xml:space="preserve">Cette conclusion ne tient pas du peu de potentiel, puisqu’au contraire cette taxe serait parfaitement justifiable et pourrait sans doute amener des revenus importants, mais tient plutôt </w:t>
      </w:r>
      <w:r w:rsidRPr="00586EB6">
        <w:rPr>
          <w:rFonts w:ascii="Times New Roman" w:hAnsi="Times New Roman"/>
          <w:sz w:val="24"/>
          <w:szCs w:val="24"/>
          <w:lang w:val="fr-FR" w:eastAsia="fr-FR"/>
        </w:rPr>
        <w:t xml:space="preserve">du peu de transparence actuelle </w:t>
      </w:r>
      <w:r>
        <w:rPr>
          <w:rFonts w:ascii="Times New Roman" w:hAnsi="Times New Roman"/>
          <w:sz w:val="24"/>
          <w:szCs w:val="24"/>
          <w:lang w:val="fr-FR" w:eastAsia="fr-FR"/>
        </w:rPr>
        <w:t>des compagnies minières</w:t>
      </w:r>
      <w:r w:rsidRPr="00586EB6">
        <w:rPr>
          <w:rFonts w:ascii="Times New Roman" w:hAnsi="Times New Roman"/>
          <w:sz w:val="24"/>
          <w:szCs w:val="24"/>
          <w:lang w:val="fr-FR" w:eastAsia="fr-FR"/>
        </w:rPr>
        <w:t>. L’absence de données récentes sur les taxes</w:t>
      </w:r>
      <w:r>
        <w:rPr>
          <w:rFonts w:ascii="Times New Roman" w:hAnsi="Times New Roman"/>
          <w:sz w:val="24"/>
          <w:szCs w:val="24"/>
          <w:lang w:val="fr-FR" w:eastAsia="fr-FR"/>
        </w:rPr>
        <w:t xml:space="preserve"> payées par ces entreprises ou sur les quantités effectivement extraites n’a pas permis de faire à ce stade une analyse du potentiel de ressources mobilisables. </w:t>
      </w:r>
    </w:p>
    <w:p w:rsidR="00F21B8E" w:rsidRDefault="00F21B8E" w:rsidP="00F21B8E">
      <w:pPr>
        <w:jc w:val="both"/>
        <w:rPr>
          <w:rFonts w:ascii="Times New Roman" w:hAnsi="Times New Roman"/>
          <w:sz w:val="24"/>
          <w:szCs w:val="24"/>
          <w:lang w:val="fr-FR" w:eastAsia="fr-FR"/>
        </w:rPr>
      </w:pPr>
      <w:r>
        <w:rPr>
          <w:rFonts w:ascii="Times New Roman" w:hAnsi="Times New Roman"/>
          <w:sz w:val="24"/>
          <w:szCs w:val="24"/>
          <w:lang w:val="fr-FR" w:eastAsia="fr-FR"/>
        </w:rPr>
        <w:t>Une discussion au plus haut niveau politique s’impose pour envisager, à moyen terme, une taxe qui puisse soutenir la CSU.</w:t>
      </w:r>
    </w:p>
    <w:p w:rsidR="00F21B8E" w:rsidRDefault="00F21B8E" w:rsidP="00F21B8E">
      <w:pPr>
        <w:pStyle w:val="BodyText1"/>
        <w:spacing w:after="0"/>
        <w:ind w:left="720"/>
        <w:jc w:val="both"/>
        <w:rPr>
          <w:rFonts w:ascii="Times New Roman" w:hAnsi="Times New Roman"/>
          <w:sz w:val="24"/>
          <w:szCs w:val="24"/>
          <w:lang w:val="fr-FR"/>
        </w:rPr>
      </w:pPr>
    </w:p>
    <w:p w:rsidR="00F21B8E" w:rsidRPr="003E5F7C" w:rsidRDefault="00F21B8E" w:rsidP="00F21B8E">
      <w:pPr>
        <w:pStyle w:val="BodyText1"/>
        <w:spacing w:after="0"/>
        <w:ind w:left="720"/>
        <w:jc w:val="both"/>
        <w:rPr>
          <w:rFonts w:ascii="Times New Roman" w:hAnsi="Times New Roman"/>
          <w:sz w:val="24"/>
          <w:szCs w:val="24"/>
          <w:lang w:val="fr-FR"/>
        </w:rPr>
      </w:pPr>
    </w:p>
    <w:p w:rsidR="00F21B8E" w:rsidRPr="00586EB6" w:rsidRDefault="00F21B8E" w:rsidP="00F21B8E">
      <w:pPr>
        <w:autoSpaceDE w:val="0"/>
        <w:autoSpaceDN w:val="0"/>
        <w:adjustRightInd w:val="0"/>
        <w:jc w:val="both"/>
        <w:rPr>
          <w:rFonts w:ascii="Times New Roman" w:hAnsi="Times New Roman"/>
          <w:b/>
          <w:szCs w:val="22"/>
          <w:lang w:val="fr-FR" w:eastAsia="en-GB"/>
        </w:rPr>
      </w:pPr>
      <w:r w:rsidRPr="00586EB6">
        <w:rPr>
          <w:rFonts w:ascii="Times New Roman" w:hAnsi="Times New Roman"/>
          <w:b/>
          <w:szCs w:val="22"/>
          <w:lang w:val="fr-FR" w:eastAsia="en-GB"/>
        </w:rPr>
        <w:t>Conclusion générale</w:t>
      </w:r>
    </w:p>
    <w:p w:rsidR="00F21B8E" w:rsidRDefault="00F21B8E" w:rsidP="00F21B8E">
      <w:pPr>
        <w:pStyle w:val="BodyText1"/>
        <w:spacing w:after="0"/>
        <w:rPr>
          <w:rFonts w:ascii="Times New Roman" w:hAnsi="Times New Roman"/>
          <w:color w:val="333333"/>
          <w:sz w:val="24"/>
          <w:szCs w:val="24"/>
          <w:lang w:val="fr-FR"/>
        </w:rPr>
      </w:pPr>
    </w:p>
    <w:p w:rsidR="00F21B8E" w:rsidRPr="00697403" w:rsidRDefault="00F21B8E" w:rsidP="00F21B8E">
      <w:pPr>
        <w:pStyle w:val="BodyText1"/>
        <w:spacing w:after="0"/>
        <w:rPr>
          <w:rFonts w:ascii="Times New Roman" w:hAnsi="Times New Roman"/>
          <w:sz w:val="24"/>
          <w:szCs w:val="24"/>
          <w:lang w:val="fr-FR"/>
        </w:rPr>
      </w:pPr>
      <w:r>
        <w:rPr>
          <w:rFonts w:ascii="Times New Roman" w:hAnsi="Times New Roman"/>
          <w:color w:val="333333"/>
          <w:sz w:val="24"/>
          <w:szCs w:val="24"/>
          <w:lang w:val="fr-FR"/>
        </w:rPr>
        <w:t xml:space="preserve">Au terme de cette étude, </w:t>
      </w:r>
      <w:r w:rsidRPr="00697403">
        <w:rPr>
          <w:rFonts w:ascii="Times New Roman" w:hAnsi="Times New Roman"/>
          <w:color w:val="333333"/>
          <w:sz w:val="24"/>
          <w:szCs w:val="24"/>
          <w:lang w:val="fr-FR"/>
        </w:rPr>
        <w:t>il ressort que parmi</w:t>
      </w:r>
      <w:r w:rsidRPr="00697403">
        <w:rPr>
          <w:rFonts w:ascii="Times New Roman" w:hAnsi="Times New Roman"/>
          <w:sz w:val="24"/>
          <w:szCs w:val="24"/>
          <w:lang w:val="fr-FR"/>
        </w:rPr>
        <w:t xml:space="preserve"> les cinq (5) mécanismes </w:t>
      </w:r>
      <w:r>
        <w:rPr>
          <w:rFonts w:ascii="Times New Roman" w:hAnsi="Times New Roman"/>
          <w:sz w:val="24"/>
          <w:szCs w:val="24"/>
          <w:lang w:val="fr-FR"/>
        </w:rPr>
        <w:t xml:space="preserve">étudiés </w:t>
      </w:r>
      <w:r w:rsidRPr="00697403">
        <w:rPr>
          <w:rFonts w:ascii="Times New Roman" w:hAnsi="Times New Roman"/>
          <w:sz w:val="24"/>
          <w:szCs w:val="24"/>
          <w:lang w:val="fr-FR"/>
        </w:rPr>
        <w:t>:</w:t>
      </w:r>
    </w:p>
    <w:p w:rsidR="00F21B8E" w:rsidRPr="000B4E2B" w:rsidRDefault="00F21B8E" w:rsidP="00F21B8E">
      <w:pPr>
        <w:pStyle w:val="BodyText1"/>
        <w:numPr>
          <w:ilvl w:val="0"/>
          <w:numId w:val="2"/>
        </w:numPr>
        <w:spacing w:after="0"/>
        <w:jc w:val="both"/>
        <w:rPr>
          <w:rFonts w:ascii="Times New Roman" w:hAnsi="Times New Roman"/>
          <w:sz w:val="24"/>
          <w:szCs w:val="24"/>
          <w:lang w:val="fr-FR"/>
        </w:rPr>
      </w:pPr>
      <w:r>
        <w:rPr>
          <w:rFonts w:ascii="Times New Roman" w:hAnsi="Times New Roman"/>
          <w:sz w:val="24"/>
          <w:szCs w:val="24"/>
          <w:lang w:val="fr-FR"/>
        </w:rPr>
        <w:t xml:space="preserve"> Trois (3) sont </w:t>
      </w:r>
      <w:r w:rsidRPr="000B4E2B">
        <w:rPr>
          <w:rFonts w:ascii="Times New Roman" w:hAnsi="Times New Roman"/>
          <w:sz w:val="24"/>
          <w:szCs w:val="24"/>
          <w:lang w:val="fr-FR"/>
        </w:rPr>
        <w:t>prometteurs</w:t>
      </w:r>
      <w:r>
        <w:rPr>
          <w:rFonts w:ascii="Times New Roman" w:hAnsi="Times New Roman"/>
          <w:sz w:val="24"/>
          <w:szCs w:val="24"/>
          <w:lang w:val="fr-FR"/>
        </w:rPr>
        <w:t xml:space="preserve">  à savoir : la taxe sur les </w:t>
      </w:r>
      <w:r w:rsidRPr="000B4E2B">
        <w:rPr>
          <w:rFonts w:ascii="Times New Roman" w:hAnsi="Times New Roman"/>
          <w:b/>
          <w:sz w:val="24"/>
          <w:szCs w:val="24"/>
          <w:lang w:val="fr-FR"/>
        </w:rPr>
        <w:t xml:space="preserve">billets d’avion, </w:t>
      </w:r>
      <w:r>
        <w:rPr>
          <w:rFonts w:ascii="Times New Roman" w:hAnsi="Times New Roman"/>
          <w:b/>
          <w:sz w:val="24"/>
          <w:szCs w:val="24"/>
          <w:lang w:val="fr-FR"/>
        </w:rPr>
        <w:t>la taxe sur la</w:t>
      </w:r>
      <w:r w:rsidRPr="000B4E2B">
        <w:rPr>
          <w:rFonts w:ascii="Times New Roman" w:hAnsi="Times New Roman"/>
          <w:b/>
          <w:sz w:val="24"/>
          <w:szCs w:val="24"/>
          <w:lang w:val="fr-FR"/>
        </w:rPr>
        <w:t xml:space="preserve"> téléphonie et </w:t>
      </w:r>
      <w:r>
        <w:rPr>
          <w:rFonts w:ascii="Times New Roman" w:hAnsi="Times New Roman"/>
          <w:b/>
          <w:sz w:val="24"/>
          <w:szCs w:val="24"/>
          <w:lang w:val="fr-FR"/>
        </w:rPr>
        <w:t>la taxe sur l’</w:t>
      </w:r>
      <w:r w:rsidRPr="000B4E2B">
        <w:rPr>
          <w:rFonts w:ascii="Times New Roman" w:hAnsi="Times New Roman"/>
          <w:b/>
          <w:sz w:val="24"/>
          <w:szCs w:val="24"/>
          <w:lang w:val="fr-FR"/>
        </w:rPr>
        <w:t>alcool</w:t>
      </w:r>
      <w:r w:rsidRPr="000B4E2B">
        <w:rPr>
          <w:rFonts w:ascii="Times New Roman" w:hAnsi="Times New Roman"/>
          <w:sz w:val="24"/>
          <w:szCs w:val="24"/>
          <w:lang w:val="fr-FR"/>
        </w:rPr>
        <w:t xml:space="preserve">, </w:t>
      </w:r>
    </w:p>
    <w:p w:rsidR="00F21B8E" w:rsidRPr="00EF2309" w:rsidRDefault="00F21B8E" w:rsidP="00F21B8E">
      <w:pPr>
        <w:pStyle w:val="BodyText1"/>
        <w:numPr>
          <w:ilvl w:val="0"/>
          <w:numId w:val="2"/>
        </w:numPr>
        <w:spacing w:after="0"/>
        <w:jc w:val="both"/>
        <w:rPr>
          <w:rFonts w:ascii="Times New Roman" w:hAnsi="Times New Roman"/>
          <w:sz w:val="24"/>
          <w:szCs w:val="24"/>
          <w:lang w:val="fr-FR"/>
        </w:rPr>
      </w:pPr>
      <w:r>
        <w:rPr>
          <w:rFonts w:ascii="Times New Roman" w:hAnsi="Times New Roman"/>
          <w:sz w:val="24"/>
          <w:szCs w:val="24"/>
          <w:lang w:val="fr-FR"/>
        </w:rPr>
        <w:t xml:space="preserve">Deux (2)  de ces mécanismes ne semblent pas être </w:t>
      </w:r>
      <w:r w:rsidRPr="000B4E2B">
        <w:rPr>
          <w:rFonts w:ascii="Times New Roman" w:hAnsi="Times New Roman"/>
          <w:sz w:val="24"/>
          <w:szCs w:val="24"/>
          <w:lang w:val="fr-FR"/>
        </w:rPr>
        <w:t>justifiés</w:t>
      </w:r>
      <w:r>
        <w:rPr>
          <w:rFonts w:ascii="Times New Roman" w:hAnsi="Times New Roman"/>
          <w:sz w:val="24"/>
          <w:szCs w:val="24"/>
          <w:lang w:val="fr-FR"/>
        </w:rPr>
        <w:t xml:space="preserve"> pour le </w:t>
      </w:r>
      <w:r w:rsidRPr="000B4E2B">
        <w:rPr>
          <w:rFonts w:ascii="Times New Roman" w:hAnsi="Times New Roman"/>
          <w:sz w:val="24"/>
          <w:szCs w:val="24"/>
          <w:lang w:val="fr-FR"/>
        </w:rPr>
        <w:t>moment</w:t>
      </w:r>
      <w:r>
        <w:rPr>
          <w:rFonts w:ascii="Times New Roman" w:hAnsi="Times New Roman"/>
          <w:sz w:val="24"/>
          <w:szCs w:val="24"/>
          <w:lang w:val="fr-FR"/>
        </w:rPr>
        <w:t xml:space="preserve"> : la taxe sur les </w:t>
      </w:r>
      <w:r w:rsidRPr="000B4E2B">
        <w:rPr>
          <w:rFonts w:ascii="Times New Roman" w:hAnsi="Times New Roman"/>
          <w:b/>
          <w:sz w:val="24"/>
          <w:szCs w:val="24"/>
          <w:lang w:val="fr-FR"/>
        </w:rPr>
        <w:t>rémittences</w:t>
      </w:r>
      <w:r w:rsidRPr="000B4E2B">
        <w:rPr>
          <w:rFonts w:ascii="Times New Roman" w:hAnsi="Times New Roman"/>
          <w:sz w:val="24"/>
          <w:szCs w:val="24"/>
          <w:lang w:val="fr-FR"/>
        </w:rPr>
        <w:t xml:space="preserve"> et </w:t>
      </w:r>
      <w:r>
        <w:rPr>
          <w:rFonts w:ascii="Times New Roman" w:hAnsi="Times New Roman"/>
          <w:sz w:val="24"/>
          <w:szCs w:val="24"/>
          <w:lang w:val="fr-FR"/>
        </w:rPr>
        <w:t xml:space="preserve">la taxe sur les </w:t>
      </w:r>
      <w:r w:rsidRPr="000B4E2B">
        <w:rPr>
          <w:rFonts w:ascii="Times New Roman" w:hAnsi="Times New Roman"/>
          <w:b/>
          <w:sz w:val="24"/>
          <w:szCs w:val="24"/>
          <w:lang w:val="fr-FR"/>
        </w:rPr>
        <w:t>ressources minières</w:t>
      </w:r>
    </w:p>
    <w:p w:rsidR="00F21B8E" w:rsidRDefault="00F21B8E" w:rsidP="00F21B8E">
      <w:pPr>
        <w:pStyle w:val="BodyText1"/>
        <w:spacing w:after="0" w:line="240" w:lineRule="auto"/>
        <w:jc w:val="both"/>
        <w:rPr>
          <w:rFonts w:ascii="Times New Roman" w:hAnsi="Times New Roman"/>
          <w:sz w:val="24"/>
          <w:szCs w:val="24"/>
          <w:lang w:val="fr-FR"/>
        </w:rPr>
      </w:pPr>
    </w:p>
    <w:p w:rsidR="00F21B8E" w:rsidRPr="00152756" w:rsidRDefault="00F21B8E" w:rsidP="00F21B8E">
      <w:pPr>
        <w:pStyle w:val="BodyText1"/>
        <w:spacing w:after="0" w:line="240" w:lineRule="auto"/>
        <w:jc w:val="both"/>
        <w:rPr>
          <w:rFonts w:ascii="Times New Roman" w:hAnsi="Times New Roman"/>
          <w:sz w:val="24"/>
          <w:szCs w:val="24"/>
          <w:lang w:val="fr-FR"/>
        </w:rPr>
      </w:pPr>
      <w:r w:rsidRPr="000B4E2B">
        <w:rPr>
          <w:rFonts w:ascii="Times New Roman" w:hAnsi="Times New Roman"/>
          <w:sz w:val="24"/>
          <w:szCs w:val="24"/>
          <w:lang w:val="fr-FR"/>
        </w:rPr>
        <w:t>La synthèse des revenus potentiels des mécanismes retenus par l’étude regroupés en hypothèses basses et hautes se présentent</w:t>
      </w:r>
      <w:r>
        <w:rPr>
          <w:rFonts w:ascii="Times New Roman" w:hAnsi="Times New Roman"/>
          <w:sz w:val="24"/>
          <w:szCs w:val="24"/>
          <w:lang w:val="fr-FR"/>
        </w:rPr>
        <w:t xml:space="preserve"> </w:t>
      </w:r>
      <w:r w:rsidRPr="000B4E2B">
        <w:rPr>
          <w:rFonts w:ascii="Times New Roman" w:hAnsi="Times New Roman"/>
          <w:sz w:val="24"/>
          <w:szCs w:val="24"/>
          <w:lang w:val="fr-FR"/>
        </w:rPr>
        <w:t>comme suit :</w:t>
      </w:r>
      <w:r w:rsidR="00FC5F3F">
        <w:rPr>
          <w:rFonts w:ascii="Times New Roman" w:hAnsi="Times New Roman"/>
          <w:sz w:val="24"/>
          <w:szCs w:val="24"/>
          <w:lang w:val="fr-FR"/>
        </w:rPr>
        <w:t xml:space="preserve"> l</w:t>
      </w:r>
      <w:r>
        <w:rPr>
          <w:rFonts w:ascii="Times New Roman" w:hAnsi="Times New Roman"/>
          <w:sz w:val="24"/>
          <w:szCs w:val="24"/>
          <w:lang w:val="fr-FR"/>
        </w:rPr>
        <w:t xml:space="preserve">es trois mécanismes recommandés pourraient générer  </w:t>
      </w:r>
      <w:r w:rsidRPr="00152756">
        <w:rPr>
          <w:rFonts w:ascii="Times New Roman" w:hAnsi="Times New Roman"/>
          <w:sz w:val="24"/>
          <w:szCs w:val="24"/>
          <w:lang w:val="fr-FR"/>
        </w:rPr>
        <w:t xml:space="preserve">un revenu potentiel en 2014 en F CFA de </w:t>
      </w:r>
      <w:r>
        <w:rPr>
          <w:rFonts w:ascii="Times New Roman" w:hAnsi="Times New Roman"/>
          <w:sz w:val="24"/>
          <w:szCs w:val="24"/>
          <w:lang w:val="fr-FR"/>
        </w:rPr>
        <w:t>2 580 755 948</w:t>
      </w:r>
      <w:r w:rsidRPr="00152756">
        <w:rPr>
          <w:rFonts w:ascii="Times New Roman" w:hAnsi="Times New Roman"/>
          <w:sz w:val="24"/>
          <w:szCs w:val="24"/>
          <w:lang w:val="fr-FR"/>
        </w:rPr>
        <w:t>, soit</w:t>
      </w:r>
      <w:r>
        <w:rPr>
          <w:rFonts w:ascii="Times New Roman" w:hAnsi="Times New Roman"/>
          <w:sz w:val="24"/>
          <w:szCs w:val="24"/>
          <w:lang w:val="fr-FR"/>
        </w:rPr>
        <w:t xml:space="preserve"> 8.57%du budge</w:t>
      </w:r>
      <w:r w:rsidRPr="0046176F">
        <w:rPr>
          <w:rFonts w:ascii="Times New Roman" w:hAnsi="Times New Roman"/>
          <w:sz w:val="24"/>
          <w:szCs w:val="24"/>
          <w:lang w:val="fr-FR"/>
        </w:rPr>
        <w:t>t de la santé</w:t>
      </w:r>
      <w:r w:rsidRPr="00152756">
        <w:rPr>
          <w:rFonts w:ascii="Times New Roman" w:hAnsi="Times New Roman"/>
          <w:sz w:val="24"/>
          <w:szCs w:val="24"/>
          <w:lang w:val="fr-FR"/>
        </w:rPr>
        <w:t xml:space="preserve"> pour 2014 et 0.31% du budget général de l’Etat pour l’exercice 2014. </w:t>
      </w:r>
    </w:p>
    <w:p w:rsidR="00F21B8E" w:rsidRPr="00152756" w:rsidRDefault="00F21B8E" w:rsidP="00F21B8E">
      <w:pPr>
        <w:pStyle w:val="BodyText1"/>
        <w:spacing w:after="0" w:line="240" w:lineRule="auto"/>
        <w:jc w:val="both"/>
        <w:rPr>
          <w:rFonts w:ascii="Times New Roman" w:hAnsi="Times New Roman"/>
          <w:sz w:val="24"/>
          <w:szCs w:val="24"/>
          <w:lang w:val="fr-FR"/>
        </w:rPr>
      </w:pPr>
      <w:r w:rsidRPr="00152756">
        <w:rPr>
          <w:rFonts w:ascii="Times New Roman" w:hAnsi="Times New Roman"/>
          <w:sz w:val="24"/>
          <w:szCs w:val="24"/>
          <w:lang w:val="fr-FR"/>
        </w:rPr>
        <w:t xml:space="preserve">S’agissant des hypothèses hautes, </w:t>
      </w:r>
      <w:r>
        <w:rPr>
          <w:rFonts w:ascii="Times New Roman" w:hAnsi="Times New Roman"/>
          <w:sz w:val="24"/>
          <w:szCs w:val="24"/>
          <w:lang w:val="fr-FR"/>
        </w:rPr>
        <w:t xml:space="preserve">le revenu potentiel </w:t>
      </w:r>
      <w:r w:rsidRPr="00152756">
        <w:rPr>
          <w:rFonts w:ascii="Times New Roman" w:hAnsi="Times New Roman"/>
          <w:sz w:val="24"/>
          <w:szCs w:val="24"/>
          <w:lang w:val="fr-FR"/>
        </w:rPr>
        <w:t xml:space="preserve"> pour 2014, </w:t>
      </w:r>
      <w:r>
        <w:rPr>
          <w:rFonts w:ascii="Times New Roman" w:hAnsi="Times New Roman"/>
          <w:sz w:val="24"/>
          <w:szCs w:val="24"/>
          <w:lang w:val="fr-FR"/>
        </w:rPr>
        <w:t xml:space="preserve">serait de </w:t>
      </w:r>
      <w:r w:rsidRPr="00152756">
        <w:rPr>
          <w:rFonts w:ascii="Times New Roman" w:hAnsi="Times New Roman"/>
          <w:sz w:val="24"/>
          <w:szCs w:val="24"/>
          <w:lang w:val="fr-FR"/>
        </w:rPr>
        <w:t xml:space="preserve">en F CFA </w:t>
      </w:r>
      <w:r>
        <w:rPr>
          <w:rFonts w:ascii="Times New Roman" w:hAnsi="Times New Roman"/>
          <w:sz w:val="24"/>
          <w:szCs w:val="24"/>
          <w:lang w:val="fr-FR"/>
        </w:rPr>
        <w:t>15 199 468 264</w:t>
      </w:r>
      <w:r w:rsidRPr="00152756">
        <w:rPr>
          <w:rFonts w:ascii="Times New Roman" w:hAnsi="Times New Roman"/>
          <w:sz w:val="24"/>
          <w:szCs w:val="24"/>
          <w:lang w:val="fr-FR"/>
        </w:rPr>
        <w:t xml:space="preserve">, soit </w:t>
      </w:r>
      <w:r>
        <w:rPr>
          <w:rFonts w:ascii="Times New Roman" w:hAnsi="Times New Roman"/>
          <w:sz w:val="24"/>
          <w:szCs w:val="24"/>
          <w:lang w:val="fr-FR"/>
        </w:rPr>
        <w:t>50,5</w:t>
      </w:r>
      <w:r w:rsidRPr="00152756">
        <w:rPr>
          <w:rFonts w:ascii="Times New Roman" w:hAnsi="Times New Roman"/>
          <w:sz w:val="24"/>
          <w:szCs w:val="24"/>
          <w:lang w:val="fr-FR"/>
        </w:rPr>
        <w:t xml:space="preserve">% du budget de la santé pour la période sous revue, et </w:t>
      </w:r>
      <w:r>
        <w:rPr>
          <w:rFonts w:ascii="Times New Roman" w:hAnsi="Times New Roman"/>
          <w:sz w:val="24"/>
          <w:szCs w:val="24"/>
          <w:lang w:val="fr-FR"/>
        </w:rPr>
        <w:t>1.83</w:t>
      </w:r>
      <w:r w:rsidRPr="00152756">
        <w:rPr>
          <w:rFonts w:ascii="Times New Roman" w:hAnsi="Times New Roman"/>
          <w:sz w:val="24"/>
          <w:szCs w:val="24"/>
          <w:lang w:val="fr-FR"/>
        </w:rPr>
        <w:t xml:space="preserve">% du budget général de l’Etat. </w:t>
      </w:r>
    </w:p>
    <w:p w:rsidR="00F21B8E" w:rsidRPr="00152756" w:rsidRDefault="00F21B8E" w:rsidP="00F21B8E">
      <w:pPr>
        <w:pStyle w:val="BodyText1"/>
        <w:spacing w:after="0" w:line="240" w:lineRule="auto"/>
        <w:jc w:val="both"/>
        <w:rPr>
          <w:rFonts w:ascii="Times New Roman" w:hAnsi="Times New Roman"/>
          <w:sz w:val="24"/>
          <w:szCs w:val="24"/>
          <w:lang w:val="fr-FR"/>
        </w:rPr>
      </w:pPr>
      <w:r w:rsidRPr="00152756">
        <w:rPr>
          <w:rFonts w:ascii="Times New Roman" w:hAnsi="Times New Roman"/>
          <w:sz w:val="24"/>
          <w:szCs w:val="24"/>
          <w:lang w:val="fr-FR"/>
        </w:rPr>
        <w:lastRenderedPageBreak/>
        <w:t xml:space="preserve">Comparé au PIB prévisionnel de 2014, le revenu des hypothèses basses donne 0.13% de ce dernier, alors que le revenu total des hypothèses hautes donne 0.77% de ce PIB.   </w:t>
      </w:r>
      <w:bookmarkStart w:id="1" w:name="_GoBack"/>
      <w:bookmarkEnd w:id="1"/>
    </w:p>
    <w:p w:rsidR="00F21B8E" w:rsidRDefault="00F21B8E" w:rsidP="00F21B8E">
      <w:pPr>
        <w:autoSpaceDE w:val="0"/>
        <w:autoSpaceDN w:val="0"/>
        <w:adjustRightInd w:val="0"/>
        <w:jc w:val="both"/>
        <w:rPr>
          <w:rFonts w:ascii="Times New Roman" w:hAnsi="Times New Roman"/>
          <w:b/>
          <w:szCs w:val="22"/>
          <w:lang w:val="fr-FR" w:eastAsia="en-GB"/>
        </w:rPr>
      </w:pPr>
    </w:p>
    <w:p w:rsidR="00F21B8E" w:rsidRDefault="00F21B8E" w:rsidP="00F21B8E">
      <w:pPr>
        <w:autoSpaceDE w:val="0"/>
        <w:autoSpaceDN w:val="0"/>
        <w:adjustRightInd w:val="0"/>
        <w:jc w:val="both"/>
        <w:rPr>
          <w:rFonts w:ascii="Times New Roman" w:hAnsi="Times New Roman"/>
          <w:b/>
          <w:szCs w:val="22"/>
          <w:lang w:val="fr-FR" w:eastAsia="en-GB"/>
        </w:rPr>
      </w:pPr>
    </w:p>
    <w:p w:rsidR="00F21B8E" w:rsidRPr="0011177D" w:rsidRDefault="00F21B8E" w:rsidP="00F21B8E">
      <w:pPr>
        <w:autoSpaceDE w:val="0"/>
        <w:autoSpaceDN w:val="0"/>
        <w:adjustRightInd w:val="0"/>
        <w:jc w:val="both"/>
        <w:rPr>
          <w:rFonts w:ascii="Times New Roman" w:hAnsi="Times New Roman"/>
          <w:b/>
          <w:szCs w:val="22"/>
          <w:lang w:val="fr-FR" w:eastAsia="en-GB"/>
        </w:rPr>
      </w:pPr>
      <w:r>
        <w:rPr>
          <w:rFonts w:ascii="Times New Roman" w:hAnsi="Times New Roman"/>
          <w:b/>
          <w:szCs w:val="22"/>
          <w:lang w:val="fr-FR" w:eastAsia="en-GB"/>
        </w:rPr>
        <w:t>R</w:t>
      </w:r>
      <w:r w:rsidRPr="0011177D">
        <w:rPr>
          <w:rFonts w:ascii="Times New Roman" w:hAnsi="Times New Roman"/>
          <w:b/>
          <w:szCs w:val="22"/>
          <w:lang w:val="fr-FR" w:eastAsia="en-GB"/>
        </w:rPr>
        <w:t xml:space="preserve">ecommandations </w:t>
      </w:r>
    </w:p>
    <w:p w:rsidR="00F21B8E" w:rsidRPr="0011177D" w:rsidRDefault="00F21B8E" w:rsidP="00F21B8E">
      <w:pPr>
        <w:autoSpaceDE w:val="0"/>
        <w:autoSpaceDN w:val="0"/>
        <w:adjustRightInd w:val="0"/>
        <w:jc w:val="both"/>
        <w:rPr>
          <w:rFonts w:ascii="Times New Roman" w:hAnsi="Times New Roman"/>
          <w:sz w:val="24"/>
          <w:szCs w:val="24"/>
          <w:lang w:val="fr-FR"/>
        </w:rPr>
      </w:pPr>
    </w:p>
    <w:p w:rsidR="00F21B8E" w:rsidRPr="00B91007" w:rsidRDefault="00F21B8E" w:rsidP="00F21B8E">
      <w:pPr>
        <w:jc w:val="both"/>
        <w:rPr>
          <w:rFonts w:ascii="Times New Roman" w:hAnsi="Times New Roman"/>
          <w:sz w:val="24"/>
          <w:szCs w:val="24"/>
          <w:lang w:val="fr-FR"/>
        </w:rPr>
      </w:pPr>
      <w:r w:rsidRPr="00B91007">
        <w:rPr>
          <w:rFonts w:ascii="Times New Roman" w:hAnsi="Times New Roman"/>
          <w:sz w:val="24"/>
          <w:szCs w:val="24"/>
          <w:lang w:val="fr-FR"/>
        </w:rPr>
        <w:t>D’un avis général, les cinq mécanismes proposés ont un fort potentiel de levée de fonds, et leur faisabilité politique serait certainement facilitée par l’aspect prioritaire de la marche vers la CSU, ils méritent donc tous un examen plus poussé.</w:t>
      </w:r>
    </w:p>
    <w:p w:rsidR="00F21B8E" w:rsidRPr="00B91007" w:rsidRDefault="00F21B8E" w:rsidP="00F21B8E">
      <w:pPr>
        <w:jc w:val="both"/>
        <w:rPr>
          <w:rFonts w:ascii="Times New Roman" w:hAnsi="Times New Roman"/>
          <w:sz w:val="24"/>
          <w:szCs w:val="24"/>
          <w:lang w:val="fr-FR"/>
        </w:rPr>
      </w:pPr>
    </w:p>
    <w:p w:rsidR="00F21B8E" w:rsidRPr="00B91007" w:rsidRDefault="00F21B8E" w:rsidP="00F21B8E">
      <w:pPr>
        <w:jc w:val="both"/>
        <w:rPr>
          <w:rFonts w:ascii="Times New Roman" w:hAnsi="Times New Roman"/>
          <w:sz w:val="24"/>
          <w:szCs w:val="24"/>
          <w:lang w:val="fr-FR"/>
        </w:rPr>
      </w:pPr>
      <w:r w:rsidRPr="00B91007">
        <w:rPr>
          <w:rFonts w:ascii="Times New Roman" w:hAnsi="Times New Roman"/>
          <w:sz w:val="24"/>
          <w:szCs w:val="24"/>
          <w:lang w:val="fr-FR"/>
        </w:rPr>
        <w:t>Des études complémentaires spécifiques sont nécessaires en particulier pour les secteurs le nécessitant notamment les transferts financiers</w:t>
      </w:r>
      <w:r>
        <w:rPr>
          <w:rFonts w:ascii="Times New Roman" w:hAnsi="Times New Roman"/>
          <w:sz w:val="24"/>
          <w:szCs w:val="24"/>
          <w:lang w:val="fr-FR"/>
        </w:rPr>
        <w:t xml:space="preserve"> et</w:t>
      </w:r>
      <w:r w:rsidRPr="00BB745D">
        <w:rPr>
          <w:rFonts w:ascii="Times New Roman" w:hAnsi="Times New Roman"/>
          <w:sz w:val="24"/>
          <w:szCs w:val="24"/>
          <w:lang w:val="fr-FR"/>
        </w:rPr>
        <w:t xml:space="preserve"> autres services financiers </w:t>
      </w:r>
      <w:r>
        <w:rPr>
          <w:rFonts w:ascii="Times New Roman" w:hAnsi="Times New Roman"/>
          <w:sz w:val="24"/>
          <w:szCs w:val="24"/>
          <w:lang w:val="fr-FR"/>
        </w:rPr>
        <w:t>à</w:t>
      </w:r>
      <w:r w:rsidRPr="00BB745D">
        <w:rPr>
          <w:rFonts w:ascii="Times New Roman" w:hAnsi="Times New Roman"/>
          <w:sz w:val="24"/>
          <w:szCs w:val="24"/>
          <w:lang w:val="fr-FR"/>
        </w:rPr>
        <w:t xml:space="preserve"> l’assiette plus large</w:t>
      </w:r>
      <w:r>
        <w:rPr>
          <w:rFonts w:ascii="Times New Roman" w:hAnsi="Times New Roman"/>
          <w:sz w:val="24"/>
          <w:szCs w:val="24"/>
          <w:lang w:val="fr-FR"/>
        </w:rPr>
        <w:t>,</w:t>
      </w:r>
      <w:r w:rsidRPr="00B91007">
        <w:rPr>
          <w:rFonts w:ascii="Times New Roman" w:hAnsi="Times New Roman"/>
          <w:sz w:val="24"/>
          <w:szCs w:val="24"/>
          <w:lang w:val="fr-FR"/>
        </w:rPr>
        <w:t xml:space="preserve"> les ressources minières</w:t>
      </w:r>
      <w:r>
        <w:rPr>
          <w:rFonts w:ascii="Times New Roman" w:hAnsi="Times New Roman"/>
          <w:sz w:val="24"/>
          <w:szCs w:val="24"/>
          <w:lang w:val="fr-FR"/>
        </w:rPr>
        <w:t xml:space="preserve"> et le tabac.</w:t>
      </w:r>
    </w:p>
    <w:p w:rsidR="00F21B8E" w:rsidRDefault="00F21B8E" w:rsidP="00F21B8E">
      <w:pPr>
        <w:jc w:val="both"/>
        <w:rPr>
          <w:rFonts w:ascii="Times New Roman" w:hAnsi="Times New Roman"/>
          <w:sz w:val="24"/>
          <w:szCs w:val="24"/>
          <w:lang w:val="fr-FR" w:eastAsia="fr-FR"/>
        </w:rPr>
      </w:pPr>
    </w:p>
    <w:p w:rsidR="00F21B8E" w:rsidRDefault="00F21B8E" w:rsidP="00F21B8E">
      <w:pPr>
        <w:jc w:val="both"/>
        <w:rPr>
          <w:rFonts w:ascii="Times New Roman" w:hAnsi="Times New Roman"/>
          <w:sz w:val="24"/>
          <w:szCs w:val="24"/>
          <w:lang w:val="fr-FR"/>
        </w:rPr>
      </w:pPr>
      <w:r w:rsidRPr="00B91007">
        <w:rPr>
          <w:rFonts w:ascii="Times New Roman" w:hAnsi="Times New Roman"/>
          <w:sz w:val="24"/>
          <w:szCs w:val="24"/>
          <w:lang w:val="fr-FR" w:eastAsia="fr-FR"/>
        </w:rPr>
        <w:t>Ainsi, le mécanisme tabac qui n’avait pas été retenu puisque le Togo a atteint le plafond taxable tel qu’imposé par les textes de l’UEMOA, pourrait être désormais retenu dans le panier des mécanismes innovants à explorer. En effet, lors de cette étude, la révision des taxes imposables sur le tabac a été annoncée par l’UEMOA</w:t>
      </w:r>
    </w:p>
    <w:p w:rsidR="00F21B8E" w:rsidRPr="00B91007" w:rsidRDefault="00F21B8E" w:rsidP="00F21B8E">
      <w:pPr>
        <w:jc w:val="both"/>
        <w:rPr>
          <w:rFonts w:ascii="Times New Roman" w:hAnsi="Times New Roman"/>
          <w:sz w:val="24"/>
          <w:szCs w:val="24"/>
          <w:lang w:val="fr-FR"/>
        </w:rPr>
      </w:pPr>
    </w:p>
    <w:p w:rsidR="00F21B8E" w:rsidRPr="00B91007" w:rsidRDefault="00F21B8E" w:rsidP="00F21B8E">
      <w:pPr>
        <w:pStyle w:val="BodyText1"/>
        <w:spacing w:after="0" w:line="240" w:lineRule="auto"/>
        <w:jc w:val="both"/>
        <w:rPr>
          <w:rFonts w:ascii="Times New Roman" w:hAnsi="Times New Roman"/>
          <w:sz w:val="24"/>
          <w:szCs w:val="24"/>
          <w:lang w:val="fr-FR"/>
        </w:rPr>
      </w:pPr>
      <w:r w:rsidRPr="00B91007">
        <w:rPr>
          <w:rFonts w:ascii="Times New Roman" w:hAnsi="Times New Roman"/>
          <w:sz w:val="24"/>
          <w:szCs w:val="24"/>
          <w:lang w:val="fr-FR"/>
        </w:rPr>
        <w:t>L’affectation des ressources additionnelles ainsi générées, nécessitera une réflexion plus approfondie avec le ministère des Finances</w:t>
      </w:r>
    </w:p>
    <w:p w:rsidR="00F21B8E" w:rsidRPr="00B91007" w:rsidRDefault="00F21B8E" w:rsidP="00F21B8E">
      <w:pPr>
        <w:pStyle w:val="BodyText1"/>
        <w:spacing w:after="0" w:line="240" w:lineRule="auto"/>
        <w:jc w:val="both"/>
        <w:rPr>
          <w:rFonts w:ascii="Times New Roman" w:hAnsi="Times New Roman"/>
          <w:sz w:val="24"/>
          <w:szCs w:val="24"/>
          <w:lang w:val="fr-FR"/>
        </w:rPr>
      </w:pPr>
      <w:r w:rsidRPr="00B91007">
        <w:rPr>
          <w:rFonts w:ascii="Times New Roman" w:hAnsi="Times New Roman"/>
          <w:sz w:val="24"/>
          <w:szCs w:val="24"/>
          <w:lang w:val="fr-FR"/>
        </w:rPr>
        <w:t xml:space="preserve">Il est aussi important de noter que le secteur de la santé ne semble pas disposer d’un soutien clair au niveau du Togo, et le concept de solidarité nationale qui permettrait de protéger les plus vulnérables des conséquences de dépenses insoutenables par rapport à leurs moyens financiers est aussi mal reçu pour diverses raisons. Il sera donc essentiel d’entreprendre un travail de plaidoyer auprès de la population togolaise </w:t>
      </w:r>
      <w:r>
        <w:rPr>
          <w:rFonts w:ascii="Times New Roman" w:hAnsi="Times New Roman"/>
          <w:sz w:val="24"/>
          <w:szCs w:val="24"/>
          <w:lang w:val="fr-FR"/>
        </w:rPr>
        <w:t xml:space="preserve">et du gouvernement en général </w:t>
      </w:r>
      <w:r w:rsidRPr="00B91007">
        <w:rPr>
          <w:rFonts w:ascii="Times New Roman" w:hAnsi="Times New Roman"/>
          <w:sz w:val="24"/>
          <w:szCs w:val="24"/>
          <w:lang w:val="fr-FR"/>
        </w:rPr>
        <w:t>avant toute introduction de taxe visant à soutenir la CSU.</w:t>
      </w:r>
    </w:p>
    <w:p w:rsidR="00F21B8E" w:rsidRDefault="00F21B8E" w:rsidP="00F21B8E">
      <w:pPr>
        <w:jc w:val="both"/>
        <w:rPr>
          <w:rFonts w:ascii="Times New Roman" w:hAnsi="Times New Roman"/>
          <w:sz w:val="24"/>
          <w:szCs w:val="24"/>
          <w:lang w:val="fr-FR"/>
        </w:rPr>
      </w:pPr>
    </w:p>
    <w:p w:rsidR="00F21B8E" w:rsidRDefault="00F21B8E" w:rsidP="00F21B8E">
      <w:pPr>
        <w:jc w:val="both"/>
        <w:rPr>
          <w:rFonts w:ascii="Times New Roman" w:hAnsi="Times New Roman"/>
          <w:sz w:val="24"/>
          <w:szCs w:val="24"/>
          <w:lang w:val="fr-FR"/>
        </w:rPr>
      </w:pPr>
      <w:r w:rsidRPr="00B91007">
        <w:rPr>
          <w:rFonts w:ascii="Times New Roman" w:hAnsi="Times New Roman"/>
          <w:sz w:val="24"/>
          <w:szCs w:val="24"/>
          <w:lang w:val="fr-FR"/>
        </w:rPr>
        <w:t xml:space="preserve">Enfin, bien que cette étude soit importante pour engager la réflexion sur la CSU, elle ne représente qu’une partie des travaux à réaliser au niveau du Togo. En effet, la réalisation d’une CSU capable d’offrir un panier de soins de qualités à la population et leur éviter à engager des dépenses insoutenables doit passer par une réflexion approfondie du système de l’offre de la santé (qualité et efficience) ; et aussi par d’autres éléments qui pourraient être pris en compte pour l’augmentation de l’espace fiscal voué à la santé. </w:t>
      </w:r>
    </w:p>
    <w:p w:rsidR="00F21B8E" w:rsidRPr="00B91007" w:rsidRDefault="00F21B8E" w:rsidP="00F21B8E">
      <w:pPr>
        <w:jc w:val="both"/>
        <w:rPr>
          <w:rFonts w:ascii="Times New Roman" w:hAnsi="Times New Roman"/>
          <w:sz w:val="24"/>
          <w:szCs w:val="24"/>
          <w:lang w:val="fr-FR"/>
        </w:rPr>
      </w:pPr>
    </w:p>
    <w:p w:rsidR="00F21B8E" w:rsidRPr="000B4E2B" w:rsidRDefault="00F21B8E" w:rsidP="00F21B8E">
      <w:pPr>
        <w:pStyle w:val="BodyText1"/>
        <w:spacing w:after="0" w:line="240" w:lineRule="auto"/>
        <w:jc w:val="both"/>
        <w:rPr>
          <w:rFonts w:ascii="Times New Roman" w:hAnsi="Times New Roman"/>
          <w:sz w:val="24"/>
          <w:szCs w:val="24"/>
          <w:lang w:val="fr-FR"/>
        </w:rPr>
      </w:pPr>
    </w:p>
    <w:p w:rsidR="00351C3D" w:rsidRPr="00F21B8E" w:rsidRDefault="00351C3D">
      <w:pPr>
        <w:rPr>
          <w:lang w:val="fr-FR"/>
        </w:rPr>
      </w:pPr>
    </w:p>
    <w:sectPr w:rsidR="00351C3D" w:rsidRPr="00F21B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5pt;height:11.5pt" o:bullet="t">
        <v:imagedata r:id="rId1" o:title="mso38E"/>
      </v:shape>
    </w:pict>
  </w:numPicBullet>
  <w:abstractNum w:abstractNumId="0">
    <w:nsid w:val="221129DE"/>
    <w:multiLevelType w:val="hybridMultilevel"/>
    <w:tmpl w:val="9A02B6A2"/>
    <w:lvl w:ilvl="0" w:tplc="755CED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3D024A6"/>
    <w:multiLevelType w:val="multilevel"/>
    <w:tmpl w:val="49222308"/>
    <w:lvl w:ilvl="0">
      <w:start w:val="1"/>
      <w:numFmt w:val="bullet"/>
      <w:lvlText w:val=""/>
      <w:lvlPicBulletId w:val="0"/>
      <w:lvlJc w:val="left"/>
      <w:pPr>
        <w:ind w:left="360" w:hanging="360"/>
      </w:pPr>
      <w:rPr>
        <w:rFonts w:ascii="Symbol" w:hAnsi="Symbol" w:hint="default"/>
      </w:rPr>
    </w:lvl>
    <w:lvl w:ilvl="1">
      <w:start w:val="2"/>
      <w:numFmt w:val="decimal"/>
      <w:isLgl/>
      <w:lvlText w:val="%1.%2."/>
      <w:lvlJc w:val="left"/>
      <w:pPr>
        <w:ind w:left="90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3060" w:hanging="1800"/>
      </w:pPr>
      <w:rPr>
        <w:rFonts w:hint="default"/>
      </w:rPr>
    </w:lvl>
    <w:lvl w:ilvl="8">
      <w:start w:val="1"/>
      <w:numFmt w:val="decimal"/>
      <w:isLgl/>
      <w:lvlText w:val="%1.%2.%3.%4.%5.%6.%7.%8.%9."/>
      <w:lvlJc w:val="left"/>
      <w:pPr>
        <w:ind w:left="3600" w:hanging="2160"/>
      </w:pPr>
      <w:rPr>
        <w:rFonts w:hint="default"/>
      </w:rPr>
    </w:lvl>
  </w:abstractNum>
  <w:abstractNum w:abstractNumId="2">
    <w:nsid w:val="78855E72"/>
    <w:multiLevelType w:val="multilevel"/>
    <w:tmpl w:val="201C5904"/>
    <w:lvl w:ilvl="0">
      <w:start w:val="1"/>
      <w:numFmt w:val="decimal"/>
      <w:pStyle w:val="Heading1"/>
      <w:lvlText w:val="%1"/>
      <w:lvlJc w:val="left"/>
      <w:pPr>
        <w:tabs>
          <w:tab w:val="num" w:pos="851"/>
        </w:tabs>
        <w:ind w:left="851" w:hanging="851"/>
      </w:pPr>
      <w:rPr>
        <w:rFonts w:hint="default"/>
      </w:rPr>
    </w:lvl>
    <w:lvl w:ilvl="1">
      <w:start w:val="1"/>
      <w:numFmt w:val="decimal"/>
      <w:pStyle w:val="Heading2"/>
      <w:isLgl/>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851"/>
        </w:tabs>
        <w:ind w:left="851" w:hanging="851"/>
      </w:pPr>
      <w:rPr>
        <w:rFonts w:hint="default"/>
      </w:rPr>
    </w:lvl>
    <w:lvl w:ilvl="6">
      <w:start w:val="1"/>
      <w:numFmt w:val="decimal"/>
      <w:pStyle w:val="Heading7"/>
      <w:lvlText w:val="%1.%2.%3.%4.%5.%6.%7"/>
      <w:lvlJc w:val="left"/>
      <w:pPr>
        <w:tabs>
          <w:tab w:val="num" w:pos="851"/>
        </w:tabs>
        <w:ind w:left="851" w:hanging="851"/>
      </w:pPr>
      <w:rPr>
        <w:rFonts w:hint="default"/>
      </w:rPr>
    </w:lvl>
    <w:lvl w:ilvl="7">
      <w:start w:val="1"/>
      <w:numFmt w:val="decimal"/>
      <w:pStyle w:val="Heading8"/>
      <w:lvlText w:val="%1.%2.%3.%4.%5.%6.%7.%8"/>
      <w:lvlJc w:val="left"/>
      <w:pPr>
        <w:tabs>
          <w:tab w:val="num" w:pos="851"/>
        </w:tabs>
        <w:ind w:left="851" w:hanging="851"/>
      </w:pPr>
      <w:rPr>
        <w:rFonts w:hint="default"/>
      </w:rPr>
    </w:lvl>
    <w:lvl w:ilvl="8">
      <w:start w:val="1"/>
      <w:numFmt w:val="decimal"/>
      <w:pStyle w:val="Heading9"/>
      <w:lvlText w:val="%1.%2.%3.%4.%5.%6.%7.%8.%9"/>
      <w:lvlJc w:val="left"/>
      <w:pPr>
        <w:tabs>
          <w:tab w:val="num" w:pos="851"/>
        </w:tabs>
        <w:ind w:left="851" w:hanging="851"/>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B8E"/>
    <w:rsid w:val="00351C3D"/>
    <w:rsid w:val="00427712"/>
    <w:rsid w:val="005C2B99"/>
    <w:rsid w:val="006D625D"/>
    <w:rsid w:val="00B76A13"/>
    <w:rsid w:val="00F21B8E"/>
    <w:rsid w:val="00FC5F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B8E"/>
    <w:pPr>
      <w:spacing w:after="0" w:line="240" w:lineRule="auto"/>
    </w:pPr>
    <w:rPr>
      <w:rFonts w:ascii="Arial" w:eastAsia="Times New Roman" w:hAnsi="Arial" w:cs="Times New Roman"/>
      <w:szCs w:val="20"/>
      <w:lang w:val="en-GB"/>
    </w:rPr>
  </w:style>
  <w:style w:type="paragraph" w:styleId="Heading1">
    <w:name w:val="heading 1"/>
    <w:basedOn w:val="Normal"/>
    <w:next w:val="BodyText1"/>
    <w:link w:val="Heading1Char"/>
    <w:qFormat/>
    <w:rsid w:val="00F21B8E"/>
    <w:pPr>
      <w:keepNext/>
      <w:pageBreakBefore/>
      <w:numPr>
        <w:numId w:val="1"/>
      </w:numPr>
      <w:spacing w:after="240"/>
      <w:outlineLvl w:val="0"/>
    </w:pPr>
    <w:rPr>
      <w:b/>
      <w:color w:val="002147"/>
      <w:kern w:val="32"/>
      <w:sz w:val="32"/>
    </w:rPr>
  </w:style>
  <w:style w:type="paragraph" w:styleId="Heading2">
    <w:name w:val="heading 2"/>
    <w:basedOn w:val="Heading1"/>
    <w:next w:val="BodyText1"/>
    <w:link w:val="Heading2Char"/>
    <w:qFormat/>
    <w:rsid w:val="00F21B8E"/>
    <w:pPr>
      <w:pageBreakBefore w:val="0"/>
      <w:numPr>
        <w:ilvl w:val="1"/>
      </w:numPr>
      <w:spacing w:before="360"/>
      <w:outlineLvl w:val="1"/>
    </w:pPr>
    <w:rPr>
      <w:sz w:val="28"/>
      <w:szCs w:val="28"/>
    </w:rPr>
  </w:style>
  <w:style w:type="paragraph" w:styleId="Heading3">
    <w:name w:val="heading 3"/>
    <w:basedOn w:val="Heading2"/>
    <w:next w:val="BodyText1"/>
    <w:link w:val="Heading3Char"/>
    <w:qFormat/>
    <w:rsid w:val="00F21B8E"/>
    <w:pPr>
      <w:numPr>
        <w:ilvl w:val="2"/>
      </w:numPr>
      <w:outlineLvl w:val="2"/>
    </w:pPr>
    <w:rPr>
      <w:sz w:val="24"/>
      <w:szCs w:val="24"/>
    </w:rPr>
  </w:style>
  <w:style w:type="paragraph" w:styleId="Heading4">
    <w:name w:val="heading 4"/>
    <w:basedOn w:val="Heading2"/>
    <w:next w:val="Normal"/>
    <w:link w:val="Heading4Char"/>
    <w:qFormat/>
    <w:rsid w:val="00F21B8E"/>
    <w:pPr>
      <w:numPr>
        <w:ilvl w:val="3"/>
      </w:numPr>
      <w:outlineLvl w:val="3"/>
    </w:pPr>
    <w:rPr>
      <w:sz w:val="22"/>
    </w:rPr>
  </w:style>
  <w:style w:type="paragraph" w:styleId="Heading5">
    <w:name w:val="heading 5"/>
    <w:basedOn w:val="Heading2"/>
    <w:next w:val="Normal"/>
    <w:link w:val="Heading5Char"/>
    <w:qFormat/>
    <w:rsid w:val="00F21B8E"/>
    <w:pPr>
      <w:numPr>
        <w:ilvl w:val="4"/>
      </w:numPr>
      <w:outlineLvl w:val="4"/>
    </w:pPr>
    <w:rPr>
      <w:i/>
      <w:sz w:val="22"/>
    </w:rPr>
  </w:style>
  <w:style w:type="paragraph" w:styleId="Heading6">
    <w:name w:val="heading 6"/>
    <w:basedOn w:val="Heading2"/>
    <w:next w:val="Normal"/>
    <w:link w:val="Heading6Char"/>
    <w:qFormat/>
    <w:rsid w:val="00F21B8E"/>
    <w:pPr>
      <w:numPr>
        <w:ilvl w:val="5"/>
      </w:numPr>
      <w:outlineLvl w:val="5"/>
    </w:pPr>
    <w:rPr>
      <w:b w:val="0"/>
      <w:sz w:val="20"/>
    </w:rPr>
  </w:style>
  <w:style w:type="paragraph" w:styleId="Heading7">
    <w:name w:val="heading 7"/>
    <w:basedOn w:val="Heading2"/>
    <w:next w:val="Normal"/>
    <w:link w:val="Heading7Char"/>
    <w:qFormat/>
    <w:rsid w:val="00F21B8E"/>
    <w:pPr>
      <w:numPr>
        <w:ilvl w:val="6"/>
      </w:numPr>
      <w:outlineLvl w:val="6"/>
    </w:pPr>
    <w:rPr>
      <w:b w:val="0"/>
      <w:sz w:val="18"/>
    </w:rPr>
  </w:style>
  <w:style w:type="paragraph" w:styleId="Heading8">
    <w:name w:val="heading 8"/>
    <w:basedOn w:val="Heading2"/>
    <w:next w:val="Normal"/>
    <w:link w:val="Heading8Char"/>
    <w:qFormat/>
    <w:rsid w:val="00F21B8E"/>
    <w:pPr>
      <w:numPr>
        <w:ilvl w:val="7"/>
      </w:numPr>
      <w:outlineLvl w:val="7"/>
    </w:pPr>
    <w:rPr>
      <w:b w:val="0"/>
      <w:sz w:val="18"/>
    </w:rPr>
  </w:style>
  <w:style w:type="paragraph" w:styleId="Heading9">
    <w:name w:val="heading 9"/>
    <w:basedOn w:val="Heading2"/>
    <w:next w:val="Normal"/>
    <w:link w:val="Heading9Char"/>
    <w:qFormat/>
    <w:rsid w:val="00F21B8E"/>
    <w:pPr>
      <w:numPr>
        <w:ilvl w:val="8"/>
      </w:num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21B8E"/>
    <w:rPr>
      <w:rFonts w:ascii="Arial" w:eastAsia="Times New Roman" w:hAnsi="Arial" w:cs="Times New Roman"/>
      <w:b/>
      <w:color w:val="002147"/>
      <w:kern w:val="32"/>
      <w:sz w:val="32"/>
      <w:szCs w:val="20"/>
      <w:lang w:val="en-GB"/>
    </w:rPr>
  </w:style>
  <w:style w:type="character" w:customStyle="1" w:styleId="Heading2Char">
    <w:name w:val="Heading 2 Char"/>
    <w:basedOn w:val="DefaultParagraphFont"/>
    <w:link w:val="Heading2"/>
    <w:rsid w:val="00F21B8E"/>
    <w:rPr>
      <w:rFonts w:ascii="Arial" w:eastAsia="Times New Roman" w:hAnsi="Arial" w:cs="Times New Roman"/>
      <w:b/>
      <w:color w:val="002147"/>
      <w:kern w:val="32"/>
      <w:sz w:val="28"/>
      <w:szCs w:val="28"/>
      <w:lang w:val="en-GB"/>
    </w:rPr>
  </w:style>
  <w:style w:type="character" w:customStyle="1" w:styleId="Heading3Char">
    <w:name w:val="Heading 3 Char"/>
    <w:basedOn w:val="DefaultParagraphFont"/>
    <w:link w:val="Heading3"/>
    <w:rsid w:val="00F21B8E"/>
    <w:rPr>
      <w:rFonts w:ascii="Arial" w:eastAsia="Times New Roman" w:hAnsi="Arial" w:cs="Times New Roman"/>
      <w:b/>
      <w:color w:val="002147"/>
      <w:kern w:val="32"/>
      <w:sz w:val="24"/>
      <w:szCs w:val="24"/>
      <w:lang w:val="en-GB"/>
    </w:rPr>
  </w:style>
  <w:style w:type="character" w:customStyle="1" w:styleId="Heading4Char">
    <w:name w:val="Heading 4 Char"/>
    <w:basedOn w:val="DefaultParagraphFont"/>
    <w:link w:val="Heading4"/>
    <w:rsid w:val="00F21B8E"/>
    <w:rPr>
      <w:rFonts w:ascii="Arial" w:eastAsia="Times New Roman" w:hAnsi="Arial" w:cs="Times New Roman"/>
      <w:b/>
      <w:color w:val="002147"/>
      <w:kern w:val="32"/>
      <w:szCs w:val="28"/>
      <w:lang w:val="en-GB"/>
    </w:rPr>
  </w:style>
  <w:style w:type="character" w:customStyle="1" w:styleId="Heading5Char">
    <w:name w:val="Heading 5 Char"/>
    <w:basedOn w:val="DefaultParagraphFont"/>
    <w:link w:val="Heading5"/>
    <w:rsid w:val="00F21B8E"/>
    <w:rPr>
      <w:rFonts w:ascii="Arial" w:eastAsia="Times New Roman" w:hAnsi="Arial" w:cs="Times New Roman"/>
      <w:b/>
      <w:i/>
      <w:color w:val="002147"/>
      <w:kern w:val="32"/>
      <w:szCs w:val="28"/>
      <w:lang w:val="en-GB"/>
    </w:rPr>
  </w:style>
  <w:style w:type="character" w:customStyle="1" w:styleId="Heading6Char">
    <w:name w:val="Heading 6 Char"/>
    <w:basedOn w:val="DefaultParagraphFont"/>
    <w:link w:val="Heading6"/>
    <w:rsid w:val="00F21B8E"/>
    <w:rPr>
      <w:rFonts w:ascii="Arial" w:eastAsia="Times New Roman" w:hAnsi="Arial" w:cs="Times New Roman"/>
      <w:color w:val="002147"/>
      <w:kern w:val="32"/>
      <w:sz w:val="20"/>
      <w:szCs w:val="28"/>
      <w:lang w:val="en-GB"/>
    </w:rPr>
  </w:style>
  <w:style w:type="character" w:customStyle="1" w:styleId="Heading7Char">
    <w:name w:val="Heading 7 Char"/>
    <w:basedOn w:val="DefaultParagraphFont"/>
    <w:link w:val="Heading7"/>
    <w:rsid w:val="00F21B8E"/>
    <w:rPr>
      <w:rFonts w:ascii="Arial" w:eastAsia="Times New Roman" w:hAnsi="Arial" w:cs="Times New Roman"/>
      <w:color w:val="002147"/>
      <w:kern w:val="32"/>
      <w:sz w:val="18"/>
      <w:szCs w:val="28"/>
      <w:lang w:val="en-GB"/>
    </w:rPr>
  </w:style>
  <w:style w:type="character" w:customStyle="1" w:styleId="Heading8Char">
    <w:name w:val="Heading 8 Char"/>
    <w:basedOn w:val="DefaultParagraphFont"/>
    <w:link w:val="Heading8"/>
    <w:rsid w:val="00F21B8E"/>
    <w:rPr>
      <w:rFonts w:ascii="Arial" w:eastAsia="Times New Roman" w:hAnsi="Arial" w:cs="Times New Roman"/>
      <w:color w:val="002147"/>
      <w:kern w:val="32"/>
      <w:sz w:val="18"/>
      <w:szCs w:val="28"/>
      <w:lang w:val="en-GB"/>
    </w:rPr>
  </w:style>
  <w:style w:type="character" w:customStyle="1" w:styleId="Heading9Char">
    <w:name w:val="Heading 9 Char"/>
    <w:basedOn w:val="DefaultParagraphFont"/>
    <w:link w:val="Heading9"/>
    <w:rsid w:val="00F21B8E"/>
    <w:rPr>
      <w:rFonts w:ascii="Arial" w:eastAsia="Times New Roman" w:hAnsi="Arial" w:cs="Times New Roman"/>
      <w:b/>
      <w:color w:val="002147"/>
      <w:kern w:val="32"/>
      <w:sz w:val="18"/>
      <w:szCs w:val="28"/>
      <w:lang w:val="en-GB"/>
    </w:rPr>
  </w:style>
  <w:style w:type="paragraph" w:customStyle="1" w:styleId="BodyText1">
    <w:name w:val="Body Text1"/>
    <w:aliases w:val="OPM,Body text"/>
    <w:basedOn w:val="Normal"/>
    <w:link w:val="BodyText1Char"/>
    <w:qFormat/>
    <w:rsid w:val="00F21B8E"/>
    <w:pPr>
      <w:spacing w:after="240" w:line="276" w:lineRule="atLeast"/>
    </w:pPr>
  </w:style>
  <w:style w:type="character" w:customStyle="1" w:styleId="BodyText1Char">
    <w:name w:val="Body Text1 Char"/>
    <w:aliases w:val="OPM Char,Body text Char,Body Text Char2,OPM Char1"/>
    <w:basedOn w:val="DefaultParagraphFont"/>
    <w:link w:val="BodyText1"/>
    <w:rsid w:val="00F21B8E"/>
    <w:rPr>
      <w:rFonts w:ascii="Arial" w:eastAsia="Times New Roman" w:hAnsi="Arial" w:cs="Times New Roman"/>
      <w:szCs w:val="20"/>
      <w:lang w:val="en-GB"/>
    </w:rPr>
  </w:style>
  <w:style w:type="paragraph" w:customStyle="1" w:styleId="BodytextOPM">
    <w:name w:val="Body text OPM"/>
    <w:basedOn w:val="Normal"/>
    <w:link w:val="BodytextOPMCharChar"/>
    <w:uiPriority w:val="99"/>
    <w:rsid w:val="00F21B8E"/>
    <w:pPr>
      <w:spacing w:after="240"/>
      <w:jc w:val="both"/>
    </w:pPr>
    <w:rPr>
      <w:lang w:val="fr-FR" w:eastAsia="fr-FR" w:bidi="fr-FR"/>
    </w:rPr>
  </w:style>
  <w:style w:type="character" w:customStyle="1" w:styleId="BodytextOPMCharChar">
    <w:name w:val="Body text OPM Char Char"/>
    <w:link w:val="BodytextOPM"/>
    <w:uiPriority w:val="99"/>
    <w:locked/>
    <w:rsid w:val="00F21B8E"/>
    <w:rPr>
      <w:rFonts w:ascii="Arial" w:eastAsia="Times New Roman" w:hAnsi="Arial" w:cs="Times New Roman"/>
      <w:szCs w:val="20"/>
      <w:lang w:eastAsia="fr-FR" w:bidi="fr-FR"/>
    </w:rPr>
  </w:style>
  <w:style w:type="paragraph" w:styleId="BalloonText">
    <w:name w:val="Balloon Text"/>
    <w:basedOn w:val="Normal"/>
    <w:link w:val="BalloonTextChar"/>
    <w:uiPriority w:val="99"/>
    <w:semiHidden/>
    <w:unhideWhenUsed/>
    <w:rsid w:val="00F21B8E"/>
    <w:rPr>
      <w:rFonts w:ascii="Tahoma" w:hAnsi="Tahoma" w:cs="Tahoma"/>
      <w:sz w:val="16"/>
      <w:szCs w:val="16"/>
    </w:rPr>
  </w:style>
  <w:style w:type="character" w:customStyle="1" w:styleId="BalloonTextChar">
    <w:name w:val="Balloon Text Char"/>
    <w:basedOn w:val="DefaultParagraphFont"/>
    <w:link w:val="BalloonText"/>
    <w:uiPriority w:val="99"/>
    <w:semiHidden/>
    <w:rsid w:val="00F21B8E"/>
    <w:rPr>
      <w:rFonts w:ascii="Tahoma" w:eastAsia="Times New Roman"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B8E"/>
    <w:pPr>
      <w:spacing w:after="0" w:line="240" w:lineRule="auto"/>
    </w:pPr>
    <w:rPr>
      <w:rFonts w:ascii="Arial" w:eastAsia="Times New Roman" w:hAnsi="Arial" w:cs="Times New Roman"/>
      <w:szCs w:val="20"/>
      <w:lang w:val="en-GB"/>
    </w:rPr>
  </w:style>
  <w:style w:type="paragraph" w:styleId="Heading1">
    <w:name w:val="heading 1"/>
    <w:basedOn w:val="Normal"/>
    <w:next w:val="BodyText1"/>
    <w:link w:val="Heading1Char"/>
    <w:qFormat/>
    <w:rsid w:val="00F21B8E"/>
    <w:pPr>
      <w:keepNext/>
      <w:pageBreakBefore/>
      <w:numPr>
        <w:numId w:val="1"/>
      </w:numPr>
      <w:spacing w:after="240"/>
      <w:outlineLvl w:val="0"/>
    </w:pPr>
    <w:rPr>
      <w:b/>
      <w:color w:val="002147"/>
      <w:kern w:val="32"/>
      <w:sz w:val="32"/>
    </w:rPr>
  </w:style>
  <w:style w:type="paragraph" w:styleId="Heading2">
    <w:name w:val="heading 2"/>
    <w:basedOn w:val="Heading1"/>
    <w:next w:val="BodyText1"/>
    <w:link w:val="Heading2Char"/>
    <w:qFormat/>
    <w:rsid w:val="00F21B8E"/>
    <w:pPr>
      <w:pageBreakBefore w:val="0"/>
      <w:numPr>
        <w:ilvl w:val="1"/>
      </w:numPr>
      <w:spacing w:before="360"/>
      <w:outlineLvl w:val="1"/>
    </w:pPr>
    <w:rPr>
      <w:sz w:val="28"/>
      <w:szCs w:val="28"/>
    </w:rPr>
  </w:style>
  <w:style w:type="paragraph" w:styleId="Heading3">
    <w:name w:val="heading 3"/>
    <w:basedOn w:val="Heading2"/>
    <w:next w:val="BodyText1"/>
    <w:link w:val="Heading3Char"/>
    <w:qFormat/>
    <w:rsid w:val="00F21B8E"/>
    <w:pPr>
      <w:numPr>
        <w:ilvl w:val="2"/>
      </w:numPr>
      <w:outlineLvl w:val="2"/>
    </w:pPr>
    <w:rPr>
      <w:sz w:val="24"/>
      <w:szCs w:val="24"/>
    </w:rPr>
  </w:style>
  <w:style w:type="paragraph" w:styleId="Heading4">
    <w:name w:val="heading 4"/>
    <w:basedOn w:val="Heading2"/>
    <w:next w:val="Normal"/>
    <w:link w:val="Heading4Char"/>
    <w:qFormat/>
    <w:rsid w:val="00F21B8E"/>
    <w:pPr>
      <w:numPr>
        <w:ilvl w:val="3"/>
      </w:numPr>
      <w:outlineLvl w:val="3"/>
    </w:pPr>
    <w:rPr>
      <w:sz w:val="22"/>
    </w:rPr>
  </w:style>
  <w:style w:type="paragraph" w:styleId="Heading5">
    <w:name w:val="heading 5"/>
    <w:basedOn w:val="Heading2"/>
    <w:next w:val="Normal"/>
    <w:link w:val="Heading5Char"/>
    <w:qFormat/>
    <w:rsid w:val="00F21B8E"/>
    <w:pPr>
      <w:numPr>
        <w:ilvl w:val="4"/>
      </w:numPr>
      <w:outlineLvl w:val="4"/>
    </w:pPr>
    <w:rPr>
      <w:i/>
      <w:sz w:val="22"/>
    </w:rPr>
  </w:style>
  <w:style w:type="paragraph" w:styleId="Heading6">
    <w:name w:val="heading 6"/>
    <w:basedOn w:val="Heading2"/>
    <w:next w:val="Normal"/>
    <w:link w:val="Heading6Char"/>
    <w:qFormat/>
    <w:rsid w:val="00F21B8E"/>
    <w:pPr>
      <w:numPr>
        <w:ilvl w:val="5"/>
      </w:numPr>
      <w:outlineLvl w:val="5"/>
    </w:pPr>
    <w:rPr>
      <w:b w:val="0"/>
      <w:sz w:val="20"/>
    </w:rPr>
  </w:style>
  <w:style w:type="paragraph" w:styleId="Heading7">
    <w:name w:val="heading 7"/>
    <w:basedOn w:val="Heading2"/>
    <w:next w:val="Normal"/>
    <w:link w:val="Heading7Char"/>
    <w:qFormat/>
    <w:rsid w:val="00F21B8E"/>
    <w:pPr>
      <w:numPr>
        <w:ilvl w:val="6"/>
      </w:numPr>
      <w:outlineLvl w:val="6"/>
    </w:pPr>
    <w:rPr>
      <w:b w:val="0"/>
      <w:sz w:val="18"/>
    </w:rPr>
  </w:style>
  <w:style w:type="paragraph" w:styleId="Heading8">
    <w:name w:val="heading 8"/>
    <w:basedOn w:val="Heading2"/>
    <w:next w:val="Normal"/>
    <w:link w:val="Heading8Char"/>
    <w:qFormat/>
    <w:rsid w:val="00F21B8E"/>
    <w:pPr>
      <w:numPr>
        <w:ilvl w:val="7"/>
      </w:numPr>
      <w:outlineLvl w:val="7"/>
    </w:pPr>
    <w:rPr>
      <w:b w:val="0"/>
      <w:sz w:val="18"/>
    </w:rPr>
  </w:style>
  <w:style w:type="paragraph" w:styleId="Heading9">
    <w:name w:val="heading 9"/>
    <w:basedOn w:val="Heading2"/>
    <w:next w:val="Normal"/>
    <w:link w:val="Heading9Char"/>
    <w:qFormat/>
    <w:rsid w:val="00F21B8E"/>
    <w:pPr>
      <w:numPr>
        <w:ilvl w:val="8"/>
      </w:num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21B8E"/>
    <w:rPr>
      <w:rFonts w:ascii="Arial" w:eastAsia="Times New Roman" w:hAnsi="Arial" w:cs="Times New Roman"/>
      <w:b/>
      <w:color w:val="002147"/>
      <w:kern w:val="32"/>
      <w:sz w:val="32"/>
      <w:szCs w:val="20"/>
      <w:lang w:val="en-GB"/>
    </w:rPr>
  </w:style>
  <w:style w:type="character" w:customStyle="1" w:styleId="Heading2Char">
    <w:name w:val="Heading 2 Char"/>
    <w:basedOn w:val="DefaultParagraphFont"/>
    <w:link w:val="Heading2"/>
    <w:rsid w:val="00F21B8E"/>
    <w:rPr>
      <w:rFonts w:ascii="Arial" w:eastAsia="Times New Roman" w:hAnsi="Arial" w:cs="Times New Roman"/>
      <w:b/>
      <w:color w:val="002147"/>
      <w:kern w:val="32"/>
      <w:sz w:val="28"/>
      <w:szCs w:val="28"/>
      <w:lang w:val="en-GB"/>
    </w:rPr>
  </w:style>
  <w:style w:type="character" w:customStyle="1" w:styleId="Heading3Char">
    <w:name w:val="Heading 3 Char"/>
    <w:basedOn w:val="DefaultParagraphFont"/>
    <w:link w:val="Heading3"/>
    <w:rsid w:val="00F21B8E"/>
    <w:rPr>
      <w:rFonts w:ascii="Arial" w:eastAsia="Times New Roman" w:hAnsi="Arial" w:cs="Times New Roman"/>
      <w:b/>
      <w:color w:val="002147"/>
      <w:kern w:val="32"/>
      <w:sz w:val="24"/>
      <w:szCs w:val="24"/>
      <w:lang w:val="en-GB"/>
    </w:rPr>
  </w:style>
  <w:style w:type="character" w:customStyle="1" w:styleId="Heading4Char">
    <w:name w:val="Heading 4 Char"/>
    <w:basedOn w:val="DefaultParagraphFont"/>
    <w:link w:val="Heading4"/>
    <w:rsid w:val="00F21B8E"/>
    <w:rPr>
      <w:rFonts w:ascii="Arial" w:eastAsia="Times New Roman" w:hAnsi="Arial" w:cs="Times New Roman"/>
      <w:b/>
      <w:color w:val="002147"/>
      <w:kern w:val="32"/>
      <w:szCs w:val="28"/>
      <w:lang w:val="en-GB"/>
    </w:rPr>
  </w:style>
  <w:style w:type="character" w:customStyle="1" w:styleId="Heading5Char">
    <w:name w:val="Heading 5 Char"/>
    <w:basedOn w:val="DefaultParagraphFont"/>
    <w:link w:val="Heading5"/>
    <w:rsid w:val="00F21B8E"/>
    <w:rPr>
      <w:rFonts w:ascii="Arial" w:eastAsia="Times New Roman" w:hAnsi="Arial" w:cs="Times New Roman"/>
      <w:b/>
      <w:i/>
      <w:color w:val="002147"/>
      <w:kern w:val="32"/>
      <w:szCs w:val="28"/>
      <w:lang w:val="en-GB"/>
    </w:rPr>
  </w:style>
  <w:style w:type="character" w:customStyle="1" w:styleId="Heading6Char">
    <w:name w:val="Heading 6 Char"/>
    <w:basedOn w:val="DefaultParagraphFont"/>
    <w:link w:val="Heading6"/>
    <w:rsid w:val="00F21B8E"/>
    <w:rPr>
      <w:rFonts w:ascii="Arial" w:eastAsia="Times New Roman" w:hAnsi="Arial" w:cs="Times New Roman"/>
      <w:color w:val="002147"/>
      <w:kern w:val="32"/>
      <w:sz w:val="20"/>
      <w:szCs w:val="28"/>
      <w:lang w:val="en-GB"/>
    </w:rPr>
  </w:style>
  <w:style w:type="character" w:customStyle="1" w:styleId="Heading7Char">
    <w:name w:val="Heading 7 Char"/>
    <w:basedOn w:val="DefaultParagraphFont"/>
    <w:link w:val="Heading7"/>
    <w:rsid w:val="00F21B8E"/>
    <w:rPr>
      <w:rFonts w:ascii="Arial" w:eastAsia="Times New Roman" w:hAnsi="Arial" w:cs="Times New Roman"/>
      <w:color w:val="002147"/>
      <w:kern w:val="32"/>
      <w:sz w:val="18"/>
      <w:szCs w:val="28"/>
      <w:lang w:val="en-GB"/>
    </w:rPr>
  </w:style>
  <w:style w:type="character" w:customStyle="1" w:styleId="Heading8Char">
    <w:name w:val="Heading 8 Char"/>
    <w:basedOn w:val="DefaultParagraphFont"/>
    <w:link w:val="Heading8"/>
    <w:rsid w:val="00F21B8E"/>
    <w:rPr>
      <w:rFonts w:ascii="Arial" w:eastAsia="Times New Roman" w:hAnsi="Arial" w:cs="Times New Roman"/>
      <w:color w:val="002147"/>
      <w:kern w:val="32"/>
      <w:sz w:val="18"/>
      <w:szCs w:val="28"/>
      <w:lang w:val="en-GB"/>
    </w:rPr>
  </w:style>
  <w:style w:type="character" w:customStyle="1" w:styleId="Heading9Char">
    <w:name w:val="Heading 9 Char"/>
    <w:basedOn w:val="DefaultParagraphFont"/>
    <w:link w:val="Heading9"/>
    <w:rsid w:val="00F21B8E"/>
    <w:rPr>
      <w:rFonts w:ascii="Arial" w:eastAsia="Times New Roman" w:hAnsi="Arial" w:cs="Times New Roman"/>
      <w:b/>
      <w:color w:val="002147"/>
      <w:kern w:val="32"/>
      <w:sz w:val="18"/>
      <w:szCs w:val="28"/>
      <w:lang w:val="en-GB"/>
    </w:rPr>
  </w:style>
  <w:style w:type="paragraph" w:customStyle="1" w:styleId="BodyText1">
    <w:name w:val="Body Text1"/>
    <w:aliases w:val="OPM,Body text"/>
    <w:basedOn w:val="Normal"/>
    <w:link w:val="BodyText1Char"/>
    <w:qFormat/>
    <w:rsid w:val="00F21B8E"/>
    <w:pPr>
      <w:spacing w:after="240" w:line="276" w:lineRule="atLeast"/>
    </w:pPr>
  </w:style>
  <w:style w:type="character" w:customStyle="1" w:styleId="BodyText1Char">
    <w:name w:val="Body Text1 Char"/>
    <w:aliases w:val="OPM Char,Body text Char,Body Text Char2,OPM Char1"/>
    <w:basedOn w:val="DefaultParagraphFont"/>
    <w:link w:val="BodyText1"/>
    <w:rsid w:val="00F21B8E"/>
    <w:rPr>
      <w:rFonts w:ascii="Arial" w:eastAsia="Times New Roman" w:hAnsi="Arial" w:cs="Times New Roman"/>
      <w:szCs w:val="20"/>
      <w:lang w:val="en-GB"/>
    </w:rPr>
  </w:style>
  <w:style w:type="paragraph" w:customStyle="1" w:styleId="BodytextOPM">
    <w:name w:val="Body text OPM"/>
    <w:basedOn w:val="Normal"/>
    <w:link w:val="BodytextOPMCharChar"/>
    <w:uiPriority w:val="99"/>
    <w:rsid w:val="00F21B8E"/>
    <w:pPr>
      <w:spacing w:after="240"/>
      <w:jc w:val="both"/>
    </w:pPr>
    <w:rPr>
      <w:lang w:val="fr-FR" w:eastAsia="fr-FR" w:bidi="fr-FR"/>
    </w:rPr>
  </w:style>
  <w:style w:type="character" w:customStyle="1" w:styleId="BodytextOPMCharChar">
    <w:name w:val="Body text OPM Char Char"/>
    <w:link w:val="BodytextOPM"/>
    <w:uiPriority w:val="99"/>
    <w:locked/>
    <w:rsid w:val="00F21B8E"/>
    <w:rPr>
      <w:rFonts w:ascii="Arial" w:eastAsia="Times New Roman" w:hAnsi="Arial" w:cs="Times New Roman"/>
      <w:szCs w:val="20"/>
      <w:lang w:eastAsia="fr-FR" w:bidi="fr-FR"/>
    </w:rPr>
  </w:style>
  <w:style w:type="paragraph" w:styleId="BalloonText">
    <w:name w:val="Balloon Text"/>
    <w:basedOn w:val="Normal"/>
    <w:link w:val="BalloonTextChar"/>
    <w:uiPriority w:val="99"/>
    <w:semiHidden/>
    <w:unhideWhenUsed/>
    <w:rsid w:val="00F21B8E"/>
    <w:rPr>
      <w:rFonts w:ascii="Tahoma" w:hAnsi="Tahoma" w:cs="Tahoma"/>
      <w:sz w:val="16"/>
      <w:szCs w:val="16"/>
    </w:rPr>
  </w:style>
  <w:style w:type="character" w:customStyle="1" w:styleId="BalloonTextChar">
    <w:name w:val="Balloon Text Char"/>
    <w:basedOn w:val="DefaultParagraphFont"/>
    <w:link w:val="BalloonText"/>
    <w:uiPriority w:val="99"/>
    <w:semiHidden/>
    <w:rsid w:val="00F21B8E"/>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1802</Words>
  <Characters>10277</Characters>
  <Application>Microsoft Office Word</Application>
  <DocSecurity>0</DocSecurity>
  <Lines>85</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12055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salami</dc:creator>
  <cp:lastModifiedBy>Musango, Mr. Laurent - bzv</cp:lastModifiedBy>
  <cp:revision>4</cp:revision>
  <dcterms:created xsi:type="dcterms:W3CDTF">2016-02-28T15:46:00Z</dcterms:created>
  <dcterms:modified xsi:type="dcterms:W3CDTF">2016-02-28T15:54:00Z</dcterms:modified>
</cp:coreProperties>
</file>