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33" w:rsidRDefault="00651833" w:rsidP="00704B85">
      <w:pPr>
        <w:pStyle w:val="Heading2"/>
      </w:pPr>
      <w:r w:rsidRPr="00651833">
        <w:t>Medicine Pricing and Reimbursement System</w:t>
      </w:r>
      <w:r w:rsidR="006F77B3">
        <w:t xml:space="preserve"> for Universal health Coverage, contribution for </w:t>
      </w:r>
      <w:r w:rsidR="006F77B3" w:rsidRPr="006F77B3">
        <w:t>Sustainable Development Goals (SDGs)</w:t>
      </w:r>
      <w:r w:rsidR="006F77B3">
        <w:t xml:space="preserve">: cases studies for 5 selected African countries. </w:t>
      </w:r>
    </w:p>
    <w:p w:rsidR="00651833" w:rsidRDefault="00651833" w:rsidP="00704B85">
      <w:pPr>
        <w:pStyle w:val="Heading3"/>
      </w:pPr>
      <w:r>
        <w:t>Introduction</w:t>
      </w:r>
    </w:p>
    <w:p w:rsidR="00A44AF5" w:rsidRDefault="00E66B55" w:rsidP="00D07D9B">
      <w:pPr>
        <w:jc w:val="both"/>
      </w:pPr>
      <w:r w:rsidRPr="00E66B55">
        <w:t>In recent period, universal health coverage (UHC) has become key aspiration for low and middle-income countries. The World Health Report 2013 gave leverage to this policy objective.  Thus, UHC captures three issues i.e. proportion of the population that has access, the type of service/comprehensiveness of services for which access is created and financial protection for households. More and more African countries are shifting their priority towards UHC.</w:t>
      </w:r>
    </w:p>
    <w:p w:rsidR="00E66B55" w:rsidRDefault="00163A0A" w:rsidP="00EA1DFF">
      <w:pPr>
        <w:jc w:val="both"/>
      </w:pPr>
      <w:r>
        <w:t>In low-income countries (LICs)</w:t>
      </w:r>
      <w:r w:rsidR="00E66B55" w:rsidRPr="00E66B55">
        <w:t>, most payments are made by households OOP hence; it has not been easy to implement pricing and purchasing policies with significant results.</w:t>
      </w:r>
      <w:r w:rsidR="00BC3F72" w:rsidRPr="00BC3F72">
        <w:t xml:space="preserve"> </w:t>
      </w:r>
      <w:r w:rsidR="00BC3F72" w:rsidRPr="00E66B55">
        <w:t xml:space="preserve">Case study was conducted in five countries in the African region including Ethiopia, Gabon, Ghana, Rwanda and Senegal to fill this evidence gap by documenting medicine pricing and reimbursement experiences.  </w:t>
      </w:r>
    </w:p>
    <w:p w:rsidR="00651833" w:rsidRDefault="00651833" w:rsidP="00704B85">
      <w:pPr>
        <w:pStyle w:val="Heading3"/>
      </w:pPr>
      <w:r>
        <w:t>Methodology</w:t>
      </w:r>
    </w:p>
    <w:p w:rsidR="00E66B55" w:rsidRDefault="00E66B55" w:rsidP="00EA1DFF">
      <w:pPr>
        <w:jc w:val="both"/>
      </w:pPr>
      <w:r w:rsidRPr="00E66B55">
        <w:t xml:space="preserve">The countries were selected based on their experience in the implementation of social health insurance system and/or prepayment mechanisms. Country case studies covered topics including information on population and socio-economic status; background on the pharmaceutical sector; management of medicines within the health insurance schemes; major challenges related to selection, supply, expenditure, pricing, and reimbursement of medicines;  measures taken or planned to mitigate the major challenges; and conclusion and recommendations. </w:t>
      </w:r>
    </w:p>
    <w:p w:rsidR="00651833" w:rsidRDefault="00651833" w:rsidP="008F497E">
      <w:pPr>
        <w:pStyle w:val="Heading3"/>
      </w:pPr>
      <w:r>
        <w:t>Results</w:t>
      </w:r>
    </w:p>
    <w:p w:rsidR="003416F9" w:rsidRDefault="008B5C1B" w:rsidP="00EA1DFF">
      <w:pPr>
        <w:jc w:val="both"/>
      </w:pPr>
      <w:r>
        <w:t>Positiv</w:t>
      </w:r>
      <w:r w:rsidR="003416F9">
        <w:t>es lessons have been identified such as p</w:t>
      </w:r>
      <w:r w:rsidR="001C0D31" w:rsidRPr="001C0D31">
        <w:t>resence of national medicine list and treatment guidelines</w:t>
      </w:r>
      <w:r w:rsidR="001C0D31">
        <w:t>, p</w:t>
      </w:r>
      <w:r w:rsidR="001C0D31" w:rsidRPr="001C0D31">
        <w:t>romotion of generic medicine</w:t>
      </w:r>
      <w:r w:rsidR="001C0D31">
        <w:t>, c</w:t>
      </w:r>
      <w:r w:rsidR="001C0D31" w:rsidRPr="001C0D31">
        <w:t>entral medicine purchasing</w:t>
      </w:r>
      <w:r w:rsidR="001C0D31">
        <w:t>, i</w:t>
      </w:r>
      <w:r w:rsidR="001C0D31" w:rsidRPr="001C0D31">
        <w:t>nstitutional setup and reforms in pharmaceutical logistics</w:t>
      </w:r>
      <w:r w:rsidR="003416F9">
        <w:t>, e</w:t>
      </w:r>
      <w:r w:rsidR="003416F9" w:rsidRPr="00313791">
        <w:t>lectronic monitoring system</w:t>
      </w:r>
      <w:r w:rsidR="003416F9">
        <w:t xml:space="preserve"> and c</w:t>
      </w:r>
      <w:r w:rsidR="003416F9" w:rsidRPr="00313791">
        <w:t>ommittee to prepare medicine list</w:t>
      </w:r>
      <w:r w:rsidR="003416F9">
        <w:t xml:space="preserve"> </w:t>
      </w:r>
      <w:r w:rsidR="001C0D31">
        <w:t>and r</w:t>
      </w:r>
      <w:r w:rsidR="001C0D31" w:rsidRPr="001C0D31">
        <w:t>espect of the referral system</w:t>
      </w:r>
      <w:r w:rsidR="003416F9">
        <w:t>, i</w:t>
      </w:r>
      <w:r w:rsidR="003416F9" w:rsidRPr="00FF5EC2">
        <w:t>nfluencing private sector operation</w:t>
      </w:r>
      <w:r w:rsidR="00D855D3">
        <w:t xml:space="preserve">, </w:t>
      </w:r>
      <w:r w:rsidR="003416F9">
        <w:t>m</w:t>
      </w:r>
      <w:r w:rsidR="003416F9" w:rsidRPr="00FF5EC2">
        <w:t>ultidisciplinary committee for medicine selection</w:t>
      </w:r>
      <w:r w:rsidR="00D855D3">
        <w:t xml:space="preserve"> and </w:t>
      </w:r>
      <w:r w:rsidR="003416F9">
        <w:t>c</w:t>
      </w:r>
      <w:r w:rsidR="003416F9" w:rsidRPr="00FF5EC2">
        <w:t>omputerization</w:t>
      </w:r>
      <w:r w:rsidR="00D855D3">
        <w:t xml:space="preserve"> </w:t>
      </w:r>
      <w:r w:rsidR="001C0D31">
        <w:t xml:space="preserve">were </w:t>
      </w:r>
      <w:r w:rsidR="004D130C">
        <w:t xml:space="preserve">identified as positives lessons. </w:t>
      </w:r>
    </w:p>
    <w:p w:rsidR="00704B85" w:rsidRDefault="003220A8" w:rsidP="004D1267">
      <w:pPr>
        <w:jc w:val="both"/>
      </w:pPr>
      <w:r>
        <w:t>T</w:t>
      </w:r>
      <w:r w:rsidR="008B5C1B">
        <w:t xml:space="preserve">here are challenges identified: </w:t>
      </w:r>
      <w:r w:rsidR="00E173A8">
        <w:t>s</w:t>
      </w:r>
      <w:r w:rsidR="00E173A8" w:rsidRPr="00E173A8">
        <w:t>hortage of medicine, medical supplies</w:t>
      </w:r>
      <w:r w:rsidR="00E173A8">
        <w:t xml:space="preserve"> and issue of quality of care, f</w:t>
      </w:r>
      <w:r w:rsidR="00E173A8" w:rsidRPr="00E173A8">
        <w:t>inancial sustainability</w:t>
      </w:r>
      <w:r w:rsidR="00A110DB">
        <w:t xml:space="preserve"> and l</w:t>
      </w:r>
      <w:r w:rsidR="00A110DB" w:rsidRPr="00A110DB">
        <w:t>ack of risk and financial pooling between CBHI schemes</w:t>
      </w:r>
      <w:r w:rsidR="00A110DB">
        <w:t xml:space="preserve"> and g</w:t>
      </w:r>
      <w:r w:rsidR="00A110DB" w:rsidRPr="00A110DB">
        <w:t>ap in monitoring and information management</w:t>
      </w:r>
      <w:r w:rsidR="00A110DB">
        <w:t xml:space="preserve"> were identified as challenges. </w:t>
      </w:r>
    </w:p>
    <w:p w:rsidR="00A11585" w:rsidRDefault="00A11585" w:rsidP="00EA1DFF">
      <w:pPr>
        <w:jc w:val="both"/>
      </w:pPr>
      <w:r w:rsidRPr="004D1267">
        <w:rPr>
          <w:rFonts w:asciiTheme="majorHAnsi" w:eastAsiaTheme="majorEastAsia" w:hAnsiTheme="majorHAnsi" w:cstheme="majorBidi"/>
          <w:b/>
          <w:bCs/>
          <w:color w:val="4F81BD" w:themeColor="accent1"/>
        </w:rPr>
        <w:t>The following recommendations</w:t>
      </w:r>
      <w:r w:rsidRPr="00A11585">
        <w:t xml:space="preserve"> to improve medicine pricing and reimbursement</w:t>
      </w:r>
      <w:r>
        <w:t xml:space="preserve"> have been suggested: </w:t>
      </w:r>
    </w:p>
    <w:p w:rsidR="00A11585" w:rsidRDefault="00A11585" w:rsidP="00EA1DFF">
      <w:pPr>
        <w:pStyle w:val="ListParagraph"/>
        <w:numPr>
          <w:ilvl w:val="0"/>
          <w:numId w:val="1"/>
        </w:numPr>
        <w:jc w:val="both"/>
      </w:pPr>
      <w:r w:rsidRPr="00A11585">
        <w:t>strengthening and enforcing the legal system, such as pharmaceutical sector regulation, promoting competitive generic market, together with an integrated incentive mechanism for prescribers, dispensers and patients</w:t>
      </w:r>
      <w:r>
        <w:t>;</w:t>
      </w:r>
    </w:p>
    <w:p w:rsidR="003B08D0" w:rsidRPr="003B08D0" w:rsidRDefault="00EA1DFF" w:rsidP="00EA1DFF">
      <w:pPr>
        <w:pStyle w:val="ListParagraph"/>
        <w:numPr>
          <w:ilvl w:val="0"/>
          <w:numId w:val="1"/>
        </w:numPr>
        <w:jc w:val="both"/>
      </w:pPr>
      <w:r>
        <w:t>c</w:t>
      </w:r>
      <w:r w:rsidR="003B08D0" w:rsidRPr="003B08D0">
        <w:t xml:space="preserve">ountries should employ a combination of pharmaceutical policies that address both supply and </w:t>
      </w:r>
      <w:r w:rsidR="003B08D0">
        <w:t>demand issues</w:t>
      </w:r>
      <w:r w:rsidR="003B08D0" w:rsidRPr="003B08D0">
        <w:t xml:space="preserve"> as well as pricing and the level of </w:t>
      </w:r>
      <w:r w:rsidR="003B08D0">
        <w:t>consumption</w:t>
      </w:r>
      <w:r w:rsidR="00AD1A8E">
        <w:t xml:space="preserve">; </w:t>
      </w:r>
    </w:p>
    <w:p w:rsidR="004D1267" w:rsidRDefault="004D1267" w:rsidP="00EA1DFF">
      <w:pPr>
        <w:pStyle w:val="ListParagraph"/>
        <w:numPr>
          <w:ilvl w:val="0"/>
          <w:numId w:val="1"/>
        </w:numPr>
        <w:jc w:val="both"/>
      </w:pPr>
      <w:r>
        <w:lastRenderedPageBreak/>
        <w:t>s</w:t>
      </w:r>
      <w:r w:rsidR="003B08D0" w:rsidRPr="003B08D0">
        <w:t>etting up database of prescriptions, medicine retail prices, electronic system for electronic transf</w:t>
      </w:r>
      <w:r w:rsidR="00AD1A8E">
        <w:t xml:space="preserve">er of prescription, and billing; </w:t>
      </w:r>
    </w:p>
    <w:p w:rsidR="00651833" w:rsidRDefault="003B08D0" w:rsidP="00AD1A8E">
      <w:pPr>
        <w:pStyle w:val="ListParagraph"/>
        <w:numPr>
          <w:ilvl w:val="0"/>
          <w:numId w:val="1"/>
        </w:numPr>
        <w:jc w:val="both"/>
      </w:pPr>
      <w:proofErr w:type="gramStart"/>
      <w:r w:rsidRPr="003B08D0">
        <w:t>try</w:t>
      </w:r>
      <w:r w:rsidR="004D1267">
        <w:t>ing</w:t>
      </w:r>
      <w:proofErr w:type="gramEnd"/>
      <w:r w:rsidRPr="003B08D0">
        <w:t xml:space="preserve"> mixing different pricing techniques and reimbursement mechanism</w:t>
      </w:r>
      <w:r w:rsidR="00AD1A8E">
        <w:t xml:space="preserve">s depending on their situation such as </w:t>
      </w:r>
      <w:r w:rsidR="008634C8">
        <w:t xml:space="preserve">HTA, </w:t>
      </w:r>
      <w:r w:rsidR="00651833">
        <w:t>p</w:t>
      </w:r>
      <w:r w:rsidR="00651833" w:rsidRPr="00651833">
        <w:t>rice volume agreement</w:t>
      </w:r>
      <w:r w:rsidR="00651833">
        <w:t xml:space="preserve"> </w:t>
      </w:r>
      <w:r w:rsidR="008634C8">
        <w:t xml:space="preserve">and </w:t>
      </w:r>
      <w:r w:rsidR="00651833">
        <w:t>c</w:t>
      </w:r>
      <w:r w:rsidR="00651833" w:rsidRPr="00651833">
        <w:t>ost sharing</w:t>
      </w:r>
      <w:r w:rsidR="008634C8">
        <w:t xml:space="preserve">. </w:t>
      </w:r>
    </w:p>
    <w:p w:rsidR="00C814BE" w:rsidRDefault="00C814BE" w:rsidP="00C814BE">
      <w:pPr>
        <w:pStyle w:val="Heading1"/>
        <w:ind w:left="360"/>
      </w:pPr>
      <w:bookmarkStart w:id="0" w:name="_Toc440666337"/>
      <w:r w:rsidRPr="00B10B00">
        <w:t>References</w:t>
      </w:r>
      <w:bookmarkEnd w:id="0"/>
    </w:p>
    <w:p w:rsidR="00C814BE" w:rsidRPr="00C814BE" w:rsidRDefault="00C814BE" w:rsidP="00C814BE">
      <w:bookmarkStart w:id="1" w:name="_GoBack"/>
      <w:bookmarkEnd w:id="1"/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Carone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G.,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Schwierz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C. And Xavier, A. (2012). </w:t>
      </w:r>
      <w:r w:rsidRPr="00C814BE">
        <w:rPr>
          <w:rFonts w:ascii="Arial" w:hAnsi="Arial" w:cs="Arial"/>
          <w:i/>
          <w:color w:val="000000" w:themeColor="text1"/>
          <w:lang w:val="en-GB"/>
        </w:rPr>
        <w:t>Cost-containment policies in public pharmaceutical spending in the EU</w:t>
      </w:r>
      <w:r w:rsidRPr="00C814BE">
        <w:rPr>
          <w:rFonts w:ascii="Arial" w:hAnsi="Arial" w:cs="Arial"/>
          <w:color w:val="000000" w:themeColor="text1"/>
          <w:lang w:val="en-GB"/>
        </w:rPr>
        <w:t>. Brussels: European Commission, Directorate-General for Economic and Financial Affairs. Economic Papers 461 | September 2012.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>Department of Health. (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n.a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.). </w:t>
      </w:r>
      <w:r w:rsidRPr="00C814BE">
        <w:rPr>
          <w:rFonts w:ascii="Arial" w:hAnsi="Arial" w:cs="Arial"/>
          <w:i/>
          <w:color w:val="000000" w:themeColor="text1"/>
          <w:lang w:val="en-GB"/>
        </w:rPr>
        <w:t>National Health Insurance in South Africa: Policy Paper</w:t>
      </w:r>
      <w:r w:rsidRPr="00C814BE">
        <w:rPr>
          <w:rFonts w:ascii="Arial" w:hAnsi="Arial" w:cs="Arial"/>
          <w:color w:val="000000" w:themeColor="text1"/>
          <w:lang w:val="en-GB"/>
        </w:rPr>
        <w:t>. Republic of South Africa.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Hassali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M.A.,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Alrasheedy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A.A., McLachlan, A. , Nguyen, T.A.,  Saleh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Karamah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 AL-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Tamimi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S.K. , Mohamed Ibrahim, M.I. , and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Aljadhey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H. (2014). </w:t>
      </w:r>
      <w:r w:rsidRPr="00C814BE">
        <w:rPr>
          <w:rFonts w:ascii="Arial" w:hAnsi="Arial" w:cs="Arial"/>
          <w:i/>
          <w:color w:val="000000" w:themeColor="text1"/>
          <w:lang w:val="en-GB"/>
        </w:rPr>
        <w:t xml:space="preserve">The experiences of implementing generic medicine policy in eight countries: A review and recommendations for a successful promotion of generic medicine use. </w:t>
      </w:r>
      <w:r w:rsidRPr="00C814BE">
        <w:rPr>
          <w:rFonts w:ascii="Arial" w:hAnsi="Arial" w:cs="Arial"/>
          <w:color w:val="000000" w:themeColor="text1"/>
          <w:lang w:val="en-GB"/>
        </w:rPr>
        <w:t>Saudi Pharmaceutical Journal (2014) 22, 491–503. King Saud University.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 xml:space="preserve">Hsu, J.C. and Lu, C.Y. (2015). </w:t>
      </w:r>
      <w:r w:rsidRPr="00C814BE">
        <w:rPr>
          <w:rFonts w:ascii="Arial" w:hAnsi="Arial" w:cs="Arial"/>
          <w:i/>
          <w:color w:val="000000" w:themeColor="text1"/>
          <w:lang w:val="en-GB"/>
        </w:rPr>
        <w:t>The evolution of Taiwan’s National health insurance drug reimbursement scheme</w:t>
      </w:r>
      <w:r w:rsidRPr="00C814BE">
        <w:rPr>
          <w:rFonts w:ascii="Arial" w:hAnsi="Arial" w:cs="Arial"/>
          <w:color w:val="000000" w:themeColor="text1"/>
          <w:lang w:val="en-GB"/>
        </w:rPr>
        <w:t xml:space="preserve">. DARU Journal of Pharmaceutical Sciences (2015) 23:15. 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 xml:space="preserve">LFN. (2007). </w:t>
      </w:r>
      <w:proofErr w:type="gramStart"/>
      <w:r w:rsidRPr="00C814BE">
        <w:rPr>
          <w:rFonts w:ascii="Arial" w:hAnsi="Arial" w:cs="Arial"/>
          <w:i/>
          <w:color w:val="000000" w:themeColor="text1"/>
          <w:lang w:val="en-GB"/>
        </w:rPr>
        <w:t>The</w:t>
      </w:r>
      <w:proofErr w:type="gramEnd"/>
      <w:r w:rsidRPr="00C814BE">
        <w:rPr>
          <w:rFonts w:ascii="Arial" w:hAnsi="Arial" w:cs="Arial"/>
          <w:i/>
          <w:color w:val="000000" w:themeColor="text1"/>
          <w:lang w:val="en-GB"/>
        </w:rPr>
        <w:t xml:space="preserve"> Swedish Pharmaceutical Reimbursement System – A Brief Overview</w:t>
      </w:r>
      <w:r w:rsidRPr="00C814BE">
        <w:rPr>
          <w:rFonts w:ascii="Arial" w:hAnsi="Arial" w:cs="Arial"/>
          <w:color w:val="000000" w:themeColor="text1"/>
          <w:lang w:val="en-GB"/>
        </w:rPr>
        <w:t xml:space="preserve">.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Solna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>: Pharmaceutical Benefits Board (LFN).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Ngorsuraches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>, S</w:t>
      </w:r>
      <w:proofErr w:type="gramStart"/>
      <w:r w:rsidRPr="00C814BE">
        <w:rPr>
          <w:rFonts w:ascii="Arial" w:hAnsi="Arial" w:cs="Arial"/>
          <w:color w:val="000000" w:themeColor="text1"/>
          <w:lang w:val="en-GB"/>
        </w:rPr>
        <w:t>. ,</w:t>
      </w:r>
      <w:proofErr w:type="gramEnd"/>
      <w:r w:rsidRPr="00C814BE">
        <w:rPr>
          <w:rFonts w:ascii="Arial" w:hAnsi="Arial" w:cs="Arial"/>
          <w:color w:val="000000" w:themeColor="text1"/>
          <w:lang w:val="en-GB"/>
        </w:rPr>
        <w:t xml:space="preserve"> Wei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Meng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M.A. , Kim, B.Y. , and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Kulsomboon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V. (2012). </w:t>
      </w:r>
      <w:r w:rsidRPr="00C814BE">
        <w:rPr>
          <w:rFonts w:ascii="Arial" w:hAnsi="Arial" w:cs="Arial"/>
          <w:i/>
          <w:color w:val="000000" w:themeColor="text1"/>
          <w:lang w:val="en-GB"/>
        </w:rPr>
        <w:t>Drug Reimbursement Decision-Making in Thailand, China and South Korea</w:t>
      </w:r>
      <w:r w:rsidRPr="00C814BE">
        <w:rPr>
          <w:rFonts w:ascii="Arial" w:hAnsi="Arial" w:cs="Arial"/>
          <w:color w:val="000000" w:themeColor="text1"/>
          <w:lang w:val="en-GB"/>
        </w:rPr>
        <w:t xml:space="preserve">. Values in Health 15 – (2012) S120 – S125. 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>Nguyen, T.A</w:t>
      </w:r>
      <w:proofErr w:type="gramStart"/>
      <w:r w:rsidRPr="00C814BE">
        <w:rPr>
          <w:rFonts w:ascii="Arial" w:hAnsi="Arial" w:cs="Arial"/>
          <w:color w:val="000000" w:themeColor="text1"/>
          <w:lang w:val="en-GB"/>
        </w:rPr>
        <w:t>. ,</w:t>
      </w:r>
      <w:proofErr w:type="gramEnd"/>
      <w:r w:rsidRPr="00C814BE">
        <w:rPr>
          <w:rFonts w:ascii="Arial" w:hAnsi="Arial" w:cs="Arial"/>
          <w:color w:val="000000" w:themeColor="text1"/>
          <w:lang w:val="en-GB"/>
        </w:rPr>
        <w:t xml:space="preserve"> Knight, R. ,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Roughhead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E.E. , Brooks, G. , and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Mant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A. (2015). </w:t>
      </w:r>
      <w:r w:rsidRPr="00C814BE">
        <w:rPr>
          <w:rFonts w:ascii="Arial" w:hAnsi="Arial" w:cs="Arial"/>
          <w:i/>
          <w:color w:val="000000" w:themeColor="text1"/>
          <w:lang w:val="en-GB"/>
        </w:rPr>
        <w:t>Policy options for pharmaceutical pricing and purchasing: issues for low and middle-income countries</w:t>
      </w:r>
      <w:r w:rsidRPr="00C814BE">
        <w:rPr>
          <w:rFonts w:ascii="Arial" w:hAnsi="Arial" w:cs="Arial"/>
          <w:color w:val="000000" w:themeColor="text1"/>
          <w:lang w:val="en-GB"/>
        </w:rPr>
        <w:t>. Health Policy and Planning 2015; 30: 267-280.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>Stabile, M</w:t>
      </w:r>
      <w:proofErr w:type="gramStart"/>
      <w:r w:rsidRPr="00C814BE">
        <w:rPr>
          <w:rFonts w:ascii="Arial" w:hAnsi="Arial" w:cs="Arial"/>
          <w:color w:val="000000" w:themeColor="text1"/>
          <w:lang w:val="en-GB"/>
        </w:rPr>
        <w:t>. ,</w:t>
      </w:r>
      <w:proofErr w:type="gramEnd"/>
      <w:r w:rsidRPr="00C814BE">
        <w:rPr>
          <w:rFonts w:ascii="Arial" w:hAnsi="Arial" w:cs="Arial"/>
          <w:color w:val="000000" w:themeColor="text1"/>
          <w:lang w:val="en-GB"/>
        </w:rPr>
        <w:t xml:space="preserve"> Thomson, S. ,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Allin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S,  Boyle, S. ,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Busse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R., 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Chevreul,K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. ,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Marchildon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 G. and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Mossialos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E. (2013). </w:t>
      </w:r>
      <w:r w:rsidRPr="00C814BE">
        <w:rPr>
          <w:rFonts w:ascii="Arial" w:hAnsi="Arial" w:cs="Arial"/>
          <w:i/>
          <w:color w:val="000000" w:themeColor="text1"/>
          <w:lang w:val="en-GB"/>
        </w:rPr>
        <w:t>Health Care Cost Containment Strategies Used In Four Other High-Income Countries Hold Lessons for the United States</w:t>
      </w:r>
      <w:r w:rsidRPr="00C814BE">
        <w:rPr>
          <w:rFonts w:ascii="Arial" w:hAnsi="Arial" w:cs="Arial"/>
          <w:color w:val="000000" w:themeColor="text1"/>
          <w:lang w:val="en-GB"/>
        </w:rPr>
        <w:t>. Health Affairs, 32, no.4 (2013):643-652.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Vogler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S. (2012). </w:t>
      </w:r>
      <w:r w:rsidRPr="00C814BE">
        <w:rPr>
          <w:rFonts w:ascii="Arial" w:hAnsi="Arial" w:cs="Arial"/>
          <w:i/>
          <w:color w:val="000000" w:themeColor="text1"/>
          <w:lang w:val="en-GB"/>
        </w:rPr>
        <w:t>The impact of pharmaceutical pricing and reimbursement policies on generics uptake: implementation of policy option on generics in 29 European countries – an overview</w:t>
      </w:r>
      <w:r w:rsidRPr="00C814BE">
        <w:rPr>
          <w:rFonts w:ascii="Arial" w:hAnsi="Arial" w:cs="Arial"/>
          <w:color w:val="000000" w:themeColor="text1"/>
          <w:lang w:val="en-GB"/>
        </w:rPr>
        <w:t xml:space="preserve">. Generics and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Biosimilars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 Initiative Journal 2012; 1, issue 2: 93-100. 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>WHO</w:t>
      </w:r>
      <w:proofErr w:type="gramStart"/>
      <w:r w:rsidRPr="00C814BE">
        <w:rPr>
          <w:rFonts w:ascii="Arial" w:hAnsi="Arial" w:cs="Arial"/>
          <w:color w:val="000000" w:themeColor="text1"/>
          <w:lang w:val="en-GB"/>
        </w:rPr>
        <w:t>.(</w:t>
      </w:r>
      <w:proofErr w:type="gramEnd"/>
      <w:r w:rsidRPr="00C814BE">
        <w:rPr>
          <w:rFonts w:ascii="Arial" w:hAnsi="Arial" w:cs="Arial"/>
          <w:color w:val="000000" w:themeColor="text1"/>
          <w:lang w:val="en-GB"/>
        </w:rPr>
        <w:t xml:space="preserve">2003). </w:t>
      </w:r>
      <w:r w:rsidRPr="00C814BE">
        <w:rPr>
          <w:rFonts w:ascii="Arial" w:hAnsi="Arial" w:cs="Arial"/>
          <w:i/>
          <w:color w:val="000000" w:themeColor="text1"/>
          <w:lang w:val="en-GB"/>
        </w:rPr>
        <w:t>Drugs and Money. Prices, affordability and cost containment</w:t>
      </w:r>
      <w:r w:rsidRPr="00C814BE">
        <w:rPr>
          <w:rFonts w:ascii="Arial" w:hAnsi="Arial" w:cs="Arial"/>
          <w:color w:val="000000" w:themeColor="text1"/>
          <w:lang w:val="en-GB"/>
        </w:rPr>
        <w:t xml:space="preserve">. Seventh Edition. C.P. de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Joncheere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, M.N.G. Dukes F.M. </w:t>
      </w:r>
      <w:proofErr w:type="spellStart"/>
      <w:r w:rsidRPr="00C814BE">
        <w:rPr>
          <w:rFonts w:ascii="Arial" w:hAnsi="Arial" w:cs="Arial"/>
          <w:color w:val="000000" w:themeColor="text1"/>
          <w:lang w:val="en-GB"/>
        </w:rPr>
        <w:t>Haaijer-Ruskamp</w:t>
      </w:r>
      <w:proofErr w:type="spellEnd"/>
      <w:r w:rsidRPr="00C814BE">
        <w:rPr>
          <w:rFonts w:ascii="Arial" w:hAnsi="Arial" w:cs="Arial"/>
          <w:color w:val="000000" w:themeColor="text1"/>
          <w:lang w:val="en-GB"/>
        </w:rPr>
        <w:t xml:space="preserve"> and A.H. Rietveld (Eds.). Published on behalf of the World Health Organization Regional Office for Europe by IOS Press. 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 xml:space="preserve">WHO (2013). </w:t>
      </w:r>
      <w:r w:rsidRPr="00C814BE">
        <w:rPr>
          <w:rFonts w:ascii="Arial" w:hAnsi="Arial" w:cs="Arial"/>
          <w:i/>
          <w:color w:val="000000" w:themeColor="text1"/>
          <w:lang w:val="en-GB"/>
        </w:rPr>
        <w:t xml:space="preserve">World Health Report 2013: </w:t>
      </w:r>
      <w:r w:rsidRPr="00C814BE">
        <w:rPr>
          <w:rFonts w:ascii="Arial" w:hAnsi="Arial" w:cs="Arial"/>
          <w:bCs/>
          <w:i/>
          <w:color w:val="000000"/>
          <w:lang w:val="en-GB"/>
        </w:rPr>
        <w:t>Research for Universal Health Coverage</w:t>
      </w:r>
      <w:r w:rsidRPr="00C814BE">
        <w:rPr>
          <w:rFonts w:ascii="Arial" w:hAnsi="Arial" w:cs="Arial"/>
          <w:bCs/>
          <w:color w:val="000000"/>
          <w:lang w:val="en-GB"/>
        </w:rPr>
        <w:t xml:space="preserve">. Geneva: World Health Organization. 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GB"/>
        </w:rPr>
      </w:pPr>
      <w:r w:rsidRPr="00C814BE">
        <w:rPr>
          <w:rFonts w:ascii="Arial" w:hAnsi="Arial" w:cs="Arial"/>
          <w:color w:val="000000" w:themeColor="text1"/>
          <w:lang w:val="en-GB"/>
        </w:rPr>
        <w:t xml:space="preserve">WHO. (2015). </w:t>
      </w:r>
      <w:r w:rsidRPr="00C814BE">
        <w:rPr>
          <w:rFonts w:ascii="Arial" w:hAnsi="Arial" w:cs="Arial"/>
          <w:i/>
          <w:color w:val="000000" w:themeColor="text1"/>
          <w:lang w:val="en-GB"/>
        </w:rPr>
        <w:t>WHO guideline on country pharmaceutical pricing policies</w:t>
      </w:r>
      <w:r w:rsidRPr="00C814BE">
        <w:rPr>
          <w:rFonts w:ascii="Arial" w:hAnsi="Arial" w:cs="Arial"/>
          <w:color w:val="000000" w:themeColor="text1"/>
          <w:lang w:val="en-GB"/>
        </w:rPr>
        <w:t>. Geneva: World Health Organization.</w:t>
      </w:r>
    </w:p>
    <w:p w:rsidR="00C814BE" w:rsidRPr="00C814BE" w:rsidRDefault="00C814BE" w:rsidP="00C814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 w:themeColor="text1"/>
          <w:lang w:val="en-GB"/>
        </w:rPr>
      </w:pPr>
      <w:r w:rsidRPr="00C814BE">
        <w:rPr>
          <w:rFonts w:ascii="Arial" w:hAnsi="Arial" w:cs="Arial"/>
          <w:bCs/>
          <w:color w:val="000000" w:themeColor="text1"/>
          <w:lang w:val="en-GB"/>
        </w:rPr>
        <w:t xml:space="preserve">WHO and HAI. (2011). </w:t>
      </w:r>
      <w:r w:rsidRPr="00C814BE">
        <w:rPr>
          <w:rFonts w:ascii="Arial" w:hAnsi="Arial" w:cs="Arial"/>
          <w:bCs/>
          <w:i/>
          <w:color w:val="000000" w:themeColor="text1"/>
          <w:lang w:val="en-GB"/>
        </w:rPr>
        <w:t>Project on Medicine Prices and Availability, Review Series on Pharmaceutical Pricing Policies and Interventions</w:t>
      </w:r>
      <w:r w:rsidRPr="00C814BE">
        <w:rPr>
          <w:rFonts w:ascii="Arial" w:hAnsi="Arial" w:cs="Arial"/>
          <w:bCs/>
          <w:color w:val="000000" w:themeColor="text1"/>
          <w:lang w:val="en-GB"/>
        </w:rPr>
        <w:t xml:space="preserve">. Working Paper 1: External Reference Pricing. Jaime </w:t>
      </w:r>
      <w:proofErr w:type="spellStart"/>
      <w:r w:rsidRPr="00C814BE">
        <w:rPr>
          <w:rFonts w:ascii="Arial" w:hAnsi="Arial" w:cs="Arial"/>
          <w:bCs/>
          <w:color w:val="000000" w:themeColor="text1"/>
          <w:lang w:val="en-GB"/>
        </w:rPr>
        <w:t>Espin</w:t>
      </w:r>
      <w:proofErr w:type="spellEnd"/>
      <w:r w:rsidRPr="00C814BE">
        <w:rPr>
          <w:rFonts w:ascii="Arial" w:hAnsi="Arial" w:cs="Arial"/>
          <w:bCs/>
          <w:color w:val="000000" w:themeColor="text1"/>
          <w:lang w:val="en-GB"/>
        </w:rPr>
        <w:t xml:space="preserve">, Joan </w:t>
      </w:r>
      <w:proofErr w:type="spellStart"/>
      <w:r w:rsidRPr="00C814BE">
        <w:rPr>
          <w:rFonts w:ascii="Arial" w:hAnsi="Arial" w:cs="Arial"/>
          <w:bCs/>
          <w:color w:val="000000" w:themeColor="text1"/>
          <w:lang w:val="en-GB"/>
        </w:rPr>
        <w:t>Rovira</w:t>
      </w:r>
      <w:proofErr w:type="spellEnd"/>
      <w:r w:rsidRPr="00C814BE">
        <w:rPr>
          <w:rFonts w:ascii="Arial" w:hAnsi="Arial" w:cs="Arial"/>
          <w:bCs/>
          <w:color w:val="000000" w:themeColor="text1"/>
          <w:lang w:val="en-GB"/>
        </w:rPr>
        <w:t xml:space="preserve"> and Antonio </w:t>
      </w:r>
      <w:proofErr w:type="spellStart"/>
      <w:r w:rsidRPr="00C814BE">
        <w:rPr>
          <w:rFonts w:ascii="Arial" w:hAnsi="Arial" w:cs="Arial"/>
          <w:bCs/>
          <w:color w:val="000000" w:themeColor="text1"/>
          <w:lang w:val="en-GB"/>
        </w:rPr>
        <w:t>Olry</w:t>
      </w:r>
      <w:proofErr w:type="spellEnd"/>
      <w:r w:rsidRPr="00C814BE">
        <w:rPr>
          <w:rFonts w:ascii="Arial" w:hAnsi="Arial" w:cs="Arial"/>
          <w:bCs/>
          <w:color w:val="000000" w:themeColor="text1"/>
          <w:lang w:val="en-GB"/>
        </w:rPr>
        <w:t xml:space="preserve"> de </w:t>
      </w:r>
      <w:proofErr w:type="spellStart"/>
      <w:r w:rsidRPr="00C814BE">
        <w:rPr>
          <w:rFonts w:ascii="Arial" w:hAnsi="Arial" w:cs="Arial"/>
          <w:bCs/>
          <w:color w:val="000000" w:themeColor="text1"/>
          <w:lang w:val="en-GB"/>
        </w:rPr>
        <w:t>Labry</w:t>
      </w:r>
      <w:proofErr w:type="spellEnd"/>
      <w:r w:rsidRPr="00C814BE">
        <w:rPr>
          <w:rFonts w:ascii="Arial" w:hAnsi="Arial" w:cs="Arial"/>
          <w:bCs/>
          <w:color w:val="000000" w:themeColor="text1"/>
          <w:lang w:val="en-GB"/>
        </w:rPr>
        <w:t xml:space="preserve">, Andalusian School of Public Health. May 2011. </w:t>
      </w:r>
    </w:p>
    <w:p w:rsidR="00C814BE" w:rsidRDefault="00C814BE" w:rsidP="00C814BE">
      <w:pPr>
        <w:jc w:val="both"/>
      </w:pPr>
    </w:p>
    <w:sectPr w:rsidR="00C81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5770"/>
    <w:multiLevelType w:val="hybridMultilevel"/>
    <w:tmpl w:val="60C25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B55"/>
    <w:rsid w:val="00047E7C"/>
    <w:rsid w:val="0006711E"/>
    <w:rsid w:val="000B11F0"/>
    <w:rsid w:val="000E5819"/>
    <w:rsid w:val="000F4E83"/>
    <w:rsid w:val="00163A0A"/>
    <w:rsid w:val="001B4FCD"/>
    <w:rsid w:val="001C0D31"/>
    <w:rsid w:val="002310AF"/>
    <w:rsid w:val="00274B63"/>
    <w:rsid w:val="002E131C"/>
    <w:rsid w:val="00307028"/>
    <w:rsid w:val="00313791"/>
    <w:rsid w:val="003220A8"/>
    <w:rsid w:val="003416F9"/>
    <w:rsid w:val="003849F8"/>
    <w:rsid w:val="003B08D0"/>
    <w:rsid w:val="003C1C98"/>
    <w:rsid w:val="004D1267"/>
    <w:rsid w:val="004D130C"/>
    <w:rsid w:val="005700B0"/>
    <w:rsid w:val="00651833"/>
    <w:rsid w:val="00652286"/>
    <w:rsid w:val="006B0FDB"/>
    <w:rsid w:val="006F77B3"/>
    <w:rsid w:val="00704B85"/>
    <w:rsid w:val="008634C8"/>
    <w:rsid w:val="008951A0"/>
    <w:rsid w:val="008B5C1B"/>
    <w:rsid w:val="008F3778"/>
    <w:rsid w:val="008F497E"/>
    <w:rsid w:val="009120E8"/>
    <w:rsid w:val="00A110DB"/>
    <w:rsid w:val="00A11585"/>
    <w:rsid w:val="00A44AF5"/>
    <w:rsid w:val="00AD1A8E"/>
    <w:rsid w:val="00B97BB0"/>
    <w:rsid w:val="00BC3F72"/>
    <w:rsid w:val="00C814BE"/>
    <w:rsid w:val="00D07D9B"/>
    <w:rsid w:val="00D855D3"/>
    <w:rsid w:val="00E173A8"/>
    <w:rsid w:val="00E66B55"/>
    <w:rsid w:val="00EA1DFF"/>
    <w:rsid w:val="00EE6D65"/>
    <w:rsid w:val="00FC4C29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4B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4B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58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04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04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04B8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4B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4B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58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04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04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04B8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Musango, Mr. Laurent - bzv</dc:creator>
  <cp:lastModifiedBy>Musango, Mr. Laurent - bzv</cp:lastModifiedBy>
  <cp:revision>3</cp:revision>
  <dcterms:created xsi:type="dcterms:W3CDTF">2016-02-27T07:29:00Z</dcterms:created>
  <dcterms:modified xsi:type="dcterms:W3CDTF">2016-02-27T07:31:00Z</dcterms:modified>
</cp:coreProperties>
</file>