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4C" w:rsidRPr="00427C13" w:rsidRDefault="0056234C" w:rsidP="00260043">
      <w:pPr>
        <w:tabs>
          <w:tab w:val="left" w:pos="4320"/>
        </w:tabs>
        <w:spacing w:after="0" w:line="240" w:lineRule="auto"/>
        <w:jc w:val="center"/>
        <w:rPr>
          <w:rFonts w:ascii="Verdana" w:hAnsi="Verdana" w:cs="Arial"/>
          <w:sz w:val="18"/>
          <w:szCs w:val="18"/>
        </w:rPr>
      </w:pPr>
      <w:r w:rsidRPr="00427C13">
        <w:rPr>
          <w:rFonts w:ascii="Verdana" w:hAnsi="Verdana" w:cs="Arial"/>
          <w:sz w:val="18"/>
          <w:szCs w:val="18"/>
        </w:rPr>
        <w:t>Improving capacity for universal health coverage: Situational evidence of the health care regulatory landscape Lagos State</w:t>
      </w:r>
    </w:p>
    <w:p w:rsidR="0056234C" w:rsidRPr="00427C13" w:rsidRDefault="0056234C" w:rsidP="00260043">
      <w:pPr>
        <w:spacing w:after="0" w:line="240" w:lineRule="auto"/>
        <w:jc w:val="center"/>
        <w:rPr>
          <w:rFonts w:ascii="Verdana" w:hAnsi="Verdana" w:cs="Arial"/>
          <w:sz w:val="18"/>
          <w:szCs w:val="18"/>
        </w:rPr>
      </w:pPr>
      <w:r w:rsidRPr="00427C13">
        <w:rPr>
          <w:rFonts w:ascii="Verdana" w:hAnsi="Verdana" w:cs="Arial"/>
          <w:sz w:val="18"/>
          <w:szCs w:val="18"/>
        </w:rPr>
        <w:t>By</w:t>
      </w:r>
    </w:p>
    <w:p w:rsidR="0056234C" w:rsidRPr="00427C13" w:rsidRDefault="0056234C" w:rsidP="00260043">
      <w:pPr>
        <w:spacing w:after="0" w:line="240" w:lineRule="auto"/>
        <w:jc w:val="center"/>
        <w:rPr>
          <w:rFonts w:ascii="Verdana" w:hAnsi="Verdana" w:cs="Arial"/>
          <w:sz w:val="18"/>
          <w:szCs w:val="18"/>
        </w:rPr>
      </w:pPr>
      <w:proofErr w:type="spellStart"/>
      <w:r w:rsidRPr="00427C13">
        <w:rPr>
          <w:rFonts w:ascii="Verdana" w:hAnsi="Verdana" w:cs="Arial"/>
          <w:sz w:val="18"/>
          <w:szCs w:val="18"/>
        </w:rPr>
        <w:t>Akaoma</w:t>
      </w:r>
      <w:proofErr w:type="spellEnd"/>
      <w:r w:rsidRPr="00427C1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427C13">
        <w:rPr>
          <w:rFonts w:ascii="Verdana" w:hAnsi="Verdana" w:cs="Arial"/>
          <w:sz w:val="18"/>
          <w:szCs w:val="18"/>
        </w:rPr>
        <w:t>Onyemelukwe</w:t>
      </w:r>
      <w:proofErr w:type="spellEnd"/>
      <w:r w:rsidR="00472EA0" w:rsidRPr="00427C13">
        <w:rPr>
          <w:rFonts w:ascii="Verdana" w:hAnsi="Verdana" w:cs="Arial"/>
          <w:sz w:val="18"/>
          <w:szCs w:val="18"/>
        </w:rPr>
        <w:t>; Ibironke Dada</w:t>
      </w:r>
    </w:p>
    <w:p w:rsidR="00427C13" w:rsidRDefault="00427C13" w:rsidP="00260043">
      <w:pPr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</w:p>
    <w:p w:rsidR="0056234C" w:rsidRPr="00427C13" w:rsidRDefault="0056234C" w:rsidP="00427C13">
      <w:pPr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427C13">
        <w:rPr>
          <w:rFonts w:ascii="Verdana" w:hAnsi="Verdana" w:cs="Arial"/>
          <w:b/>
          <w:sz w:val="18"/>
          <w:szCs w:val="18"/>
        </w:rPr>
        <w:t>Background</w:t>
      </w:r>
    </w:p>
    <w:p w:rsidR="00472EA0" w:rsidRPr="00427C13" w:rsidRDefault="0056234C" w:rsidP="00427C13">
      <w:pPr>
        <w:spacing w:after="0" w:line="240" w:lineRule="auto"/>
        <w:jc w:val="both"/>
        <w:rPr>
          <w:rFonts w:ascii="Verdana" w:eastAsia="MS Mincho" w:hAnsi="Verdana" w:cs="Arial"/>
          <w:sz w:val="18"/>
          <w:szCs w:val="18"/>
        </w:rPr>
      </w:pPr>
      <w:r w:rsidRPr="00427C13">
        <w:rPr>
          <w:rFonts w:ascii="Verdana" w:hAnsi="Verdana" w:cs="Arial"/>
          <w:sz w:val="18"/>
          <w:szCs w:val="18"/>
        </w:rPr>
        <w:t xml:space="preserve">Achieving universal health coverage is </w:t>
      </w:r>
      <w:r w:rsidR="00BA0967" w:rsidRPr="00427C13">
        <w:rPr>
          <w:rFonts w:ascii="Verdana" w:hAnsi="Verdana" w:cs="Arial"/>
          <w:sz w:val="18"/>
          <w:szCs w:val="18"/>
        </w:rPr>
        <w:t>critical</w:t>
      </w:r>
      <w:r w:rsidRPr="00427C13">
        <w:rPr>
          <w:rFonts w:ascii="Verdana" w:hAnsi="Verdana" w:cs="Arial"/>
          <w:sz w:val="18"/>
          <w:szCs w:val="18"/>
        </w:rPr>
        <w:t xml:space="preserve"> for attaining the Health SGD. Healthcare regulation is a key governance function that ensures health</w:t>
      </w:r>
      <w:r w:rsidR="00BA0967" w:rsidRPr="00427C13">
        <w:rPr>
          <w:rFonts w:ascii="Verdana" w:hAnsi="Verdana" w:cs="Arial"/>
          <w:sz w:val="18"/>
          <w:szCs w:val="18"/>
        </w:rPr>
        <w:t>care</w:t>
      </w:r>
      <w:r w:rsidRPr="00427C13">
        <w:rPr>
          <w:rFonts w:ascii="Verdana" w:hAnsi="Verdana" w:cs="Arial"/>
          <w:sz w:val="18"/>
          <w:szCs w:val="18"/>
        </w:rPr>
        <w:t xml:space="preserve"> services are safe, effective, of good quality, accurate </w:t>
      </w:r>
      <w:r w:rsidR="00E17118" w:rsidRPr="00427C13">
        <w:rPr>
          <w:rFonts w:ascii="Verdana" w:hAnsi="Verdana" w:cs="Arial"/>
          <w:sz w:val="18"/>
          <w:szCs w:val="18"/>
        </w:rPr>
        <w:t>while combining availability</w:t>
      </w:r>
      <w:r w:rsidRPr="00427C13">
        <w:rPr>
          <w:rFonts w:ascii="Verdana" w:hAnsi="Verdana" w:cs="Arial"/>
          <w:sz w:val="18"/>
          <w:szCs w:val="18"/>
        </w:rPr>
        <w:t xml:space="preserve">, accessibility, </w:t>
      </w:r>
      <w:r w:rsidR="00C367A2" w:rsidRPr="00427C13">
        <w:rPr>
          <w:rFonts w:ascii="Verdana" w:hAnsi="Verdana" w:cs="Arial"/>
          <w:sz w:val="18"/>
          <w:szCs w:val="18"/>
        </w:rPr>
        <w:t xml:space="preserve">affordability of health care services </w:t>
      </w:r>
      <w:r w:rsidRPr="00427C13">
        <w:rPr>
          <w:rFonts w:ascii="Verdana" w:hAnsi="Verdana" w:cs="Arial"/>
          <w:sz w:val="18"/>
          <w:szCs w:val="18"/>
        </w:rPr>
        <w:t>within required standards</w:t>
      </w:r>
      <w:r w:rsidR="00C367A2" w:rsidRPr="00427C13">
        <w:rPr>
          <w:rFonts w:ascii="Verdana" w:hAnsi="Verdana" w:cs="Arial"/>
          <w:sz w:val="18"/>
          <w:szCs w:val="18"/>
        </w:rPr>
        <w:t xml:space="preserve">. </w:t>
      </w:r>
      <w:r w:rsidR="00E17118" w:rsidRPr="00427C13">
        <w:rPr>
          <w:rFonts w:ascii="Verdana" w:hAnsi="Verdana" w:cs="Arial"/>
          <w:sz w:val="18"/>
          <w:szCs w:val="18"/>
        </w:rPr>
        <w:t>The gover</w:t>
      </w:r>
      <w:bookmarkStart w:id="0" w:name="_GoBack"/>
      <w:bookmarkEnd w:id="0"/>
      <w:r w:rsidR="00E17118" w:rsidRPr="00427C13">
        <w:rPr>
          <w:rFonts w:ascii="Verdana" w:hAnsi="Verdana" w:cs="Arial"/>
          <w:sz w:val="18"/>
          <w:szCs w:val="18"/>
        </w:rPr>
        <w:t xml:space="preserve">nment through its State Development (2012-2025) plan </w:t>
      </w:r>
      <w:r w:rsidR="00C367A2" w:rsidRPr="00C367A2">
        <w:rPr>
          <w:rFonts w:ascii="Verdana" w:eastAsia="MS Mincho" w:hAnsi="Verdana" w:cs="Arial"/>
          <w:sz w:val="18"/>
          <w:szCs w:val="18"/>
        </w:rPr>
        <w:t>has committed to ensuring unfettered access to quality h</w:t>
      </w:r>
      <w:r w:rsidR="00C367A2" w:rsidRPr="00427C13">
        <w:rPr>
          <w:rFonts w:ascii="Verdana" w:eastAsia="MS Mincho" w:hAnsi="Verdana" w:cs="Arial"/>
          <w:sz w:val="18"/>
          <w:szCs w:val="18"/>
        </w:rPr>
        <w:t xml:space="preserve">ealth care services for its citizens. </w:t>
      </w:r>
      <w:r w:rsidR="00E17118" w:rsidRPr="00427C13">
        <w:rPr>
          <w:rFonts w:ascii="Verdana" w:eastAsia="MS Mincho" w:hAnsi="Verdana" w:cs="Arial"/>
          <w:sz w:val="18"/>
          <w:szCs w:val="18"/>
        </w:rPr>
        <w:t xml:space="preserve">This necessitated the development of legislative frameworks for reforming </w:t>
      </w:r>
      <w:r w:rsidR="00FC29DD" w:rsidRPr="00427C13">
        <w:rPr>
          <w:rFonts w:ascii="Verdana" w:eastAsia="MS Mincho" w:hAnsi="Verdana" w:cs="Arial"/>
          <w:sz w:val="18"/>
          <w:szCs w:val="18"/>
        </w:rPr>
        <w:t xml:space="preserve">health and </w:t>
      </w:r>
      <w:r w:rsidR="00472EA0" w:rsidRPr="00427C13">
        <w:rPr>
          <w:rFonts w:ascii="Verdana" w:eastAsia="MS Mincho" w:hAnsi="Verdana" w:cs="Arial"/>
          <w:sz w:val="18"/>
          <w:szCs w:val="18"/>
        </w:rPr>
        <w:t xml:space="preserve">improving healthcare financing. The success of </w:t>
      </w:r>
      <w:r w:rsidR="00FC29DD" w:rsidRPr="00427C13">
        <w:rPr>
          <w:rFonts w:ascii="Verdana" w:eastAsia="MS Mincho" w:hAnsi="Verdana" w:cs="Arial"/>
          <w:sz w:val="18"/>
          <w:szCs w:val="18"/>
        </w:rPr>
        <w:t xml:space="preserve">this </w:t>
      </w:r>
      <w:r w:rsidR="00472EA0" w:rsidRPr="00427C13">
        <w:rPr>
          <w:rFonts w:ascii="Verdana" w:eastAsia="MS Mincho" w:hAnsi="Verdana" w:cs="Arial"/>
          <w:sz w:val="18"/>
          <w:szCs w:val="18"/>
        </w:rPr>
        <w:t>is hinged on the capacity for regulating</w:t>
      </w:r>
      <w:r w:rsidR="00E17118" w:rsidRPr="00427C13">
        <w:rPr>
          <w:rFonts w:ascii="Verdana" w:eastAsia="MS Mincho" w:hAnsi="Verdana" w:cs="Arial"/>
          <w:sz w:val="18"/>
          <w:szCs w:val="18"/>
        </w:rPr>
        <w:t xml:space="preserve"> </w:t>
      </w:r>
      <w:r w:rsidR="00FC29DD" w:rsidRPr="00427C13">
        <w:rPr>
          <w:rFonts w:ascii="Verdana" w:eastAsia="MS Mincho" w:hAnsi="Verdana" w:cs="Arial"/>
          <w:sz w:val="18"/>
          <w:szCs w:val="18"/>
        </w:rPr>
        <w:t xml:space="preserve">healthcare </w:t>
      </w:r>
      <w:r w:rsidR="00E17118" w:rsidRPr="00427C13">
        <w:rPr>
          <w:rFonts w:ascii="Verdana" w:eastAsia="MS Mincho" w:hAnsi="Verdana" w:cs="Arial"/>
          <w:sz w:val="18"/>
          <w:szCs w:val="18"/>
        </w:rPr>
        <w:t>service provision withi</w:t>
      </w:r>
      <w:r w:rsidR="00472EA0" w:rsidRPr="00427C13">
        <w:rPr>
          <w:rFonts w:ascii="Verdana" w:eastAsia="MS Mincho" w:hAnsi="Verdana" w:cs="Arial"/>
          <w:sz w:val="18"/>
          <w:szCs w:val="18"/>
        </w:rPr>
        <w:t>n public and private healthcare.</w:t>
      </w:r>
    </w:p>
    <w:p w:rsidR="00472EA0" w:rsidRPr="00427C13" w:rsidRDefault="00472EA0" w:rsidP="00427C13">
      <w:pPr>
        <w:spacing w:after="0" w:line="240" w:lineRule="auto"/>
        <w:jc w:val="both"/>
        <w:rPr>
          <w:rFonts w:ascii="Verdana" w:eastAsia="MS Mincho" w:hAnsi="Verdana" w:cs="Arial"/>
          <w:sz w:val="18"/>
          <w:szCs w:val="18"/>
        </w:rPr>
      </w:pPr>
    </w:p>
    <w:p w:rsidR="00472EA0" w:rsidRPr="00427C13" w:rsidRDefault="00BF1FDB" w:rsidP="00427C13">
      <w:pPr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427C13">
        <w:rPr>
          <w:rFonts w:ascii="Verdana" w:hAnsi="Verdana" w:cs="Arial"/>
          <w:b/>
          <w:sz w:val="18"/>
          <w:szCs w:val="18"/>
        </w:rPr>
        <w:t>Aim and O</w:t>
      </w:r>
      <w:r w:rsidR="0056234C" w:rsidRPr="00427C13">
        <w:rPr>
          <w:rFonts w:ascii="Verdana" w:hAnsi="Verdana" w:cs="Arial"/>
          <w:b/>
          <w:sz w:val="18"/>
          <w:szCs w:val="18"/>
        </w:rPr>
        <w:t>bjectives</w:t>
      </w:r>
    </w:p>
    <w:p w:rsidR="001A7D69" w:rsidRPr="00427C13" w:rsidRDefault="00603147" w:rsidP="00427C13">
      <w:pPr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val="en-GB" w:eastAsia="en-GB"/>
        </w:rPr>
      </w:pPr>
      <w:r w:rsidRPr="00427C13">
        <w:rPr>
          <w:rFonts w:ascii="Verdana" w:eastAsia="Calibri" w:hAnsi="Verdana" w:cs="Arial"/>
          <w:sz w:val="18"/>
          <w:szCs w:val="18"/>
          <w:lang w:val="en-GB" w:eastAsia="en-GB"/>
        </w:rPr>
        <w:t xml:space="preserve">This research aimed at assessing the </w:t>
      </w:r>
      <w:r w:rsidR="00BF1FDB" w:rsidRPr="00427C13">
        <w:rPr>
          <w:rFonts w:ascii="Verdana" w:eastAsia="Calibri" w:hAnsi="Verdana" w:cs="Arial"/>
          <w:sz w:val="18"/>
          <w:szCs w:val="18"/>
          <w:lang w:val="en-GB" w:eastAsia="en-GB"/>
        </w:rPr>
        <w:t>current state of the</w:t>
      </w:r>
      <w:r w:rsidRPr="00427C13">
        <w:rPr>
          <w:rFonts w:ascii="Verdana" w:eastAsia="Calibri" w:hAnsi="Verdana" w:cs="Arial"/>
          <w:sz w:val="18"/>
          <w:szCs w:val="18"/>
          <w:lang w:val="en-GB" w:eastAsia="en-GB"/>
        </w:rPr>
        <w:t xml:space="preserve"> regulatory landscape</w:t>
      </w:r>
      <w:r w:rsidR="00BF1FDB" w:rsidRPr="00427C13">
        <w:rPr>
          <w:rFonts w:ascii="Verdana" w:eastAsia="Calibri" w:hAnsi="Verdana" w:cs="Arial"/>
          <w:sz w:val="18"/>
          <w:szCs w:val="18"/>
          <w:lang w:val="en-GB" w:eastAsia="en-GB"/>
        </w:rPr>
        <w:t xml:space="preserve"> with a view of providing situational evidence on identified gaps, establish a base score to monitor improvements and design interventions for strengthening capacity for regulation in these agencies.  </w:t>
      </w:r>
      <w:r w:rsidR="001A7D69" w:rsidRPr="00427C13">
        <w:rPr>
          <w:rFonts w:ascii="Verdana" w:eastAsia="Calibri" w:hAnsi="Verdana" w:cs="Arial"/>
          <w:sz w:val="18"/>
          <w:szCs w:val="18"/>
          <w:lang w:val="en-GB" w:eastAsia="en-GB"/>
        </w:rPr>
        <w:t>In regulation</w:t>
      </w:r>
    </w:p>
    <w:p w:rsidR="001A7D69" w:rsidRPr="00427C13" w:rsidRDefault="001A7D69" w:rsidP="00427C13">
      <w:pPr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val="en-GB" w:eastAsia="en-GB"/>
        </w:rPr>
      </w:pPr>
      <w:proofErr w:type="gramStart"/>
      <w:r w:rsidRPr="00BA0967">
        <w:rPr>
          <w:rFonts w:ascii="Verdana" w:eastAsia="Times New Roman" w:hAnsi="Verdana" w:cs="Times New Roman"/>
          <w:sz w:val="18"/>
          <w:szCs w:val="18"/>
          <w:lang w:val="en" w:eastAsia="en-GB"/>
        </w:rPr>
        <w:t>the</w:t>
      </w:r>
      <w:proofErr w:type="gramEnd"/>
      <w:r w:rsidRPr="00BA0967">
        <w:rPr>
          <w:rFonts w:ascii="Verdana" w:eastAsia="Times New Roman" w:hAnsi="Verdana" w:cs="Times New Roman"/>
          <w:sz w:val="18"/>
          <w:szCs w:val="18"/>
          <w:lang w:val="en" w:eastAsia="en-GB"/>
        </w:rPr>
        <w:t xml:space="preserve"> </w:t>
      </w:r>
      <w:r w:rsidRPr="00BA0967">
        <w:rPr>
          <w:rFonts w:ascii="Verdana" w:eastAsia="Calibri" w:hAnsi="Verdana" w:cs="Arial"/>
          <w:sz w:val="18"/>
          <w:szCs w:val="18"/>
          <w:lang w:val="en-GB" w:eastAsia="en-GB"/>
        </w:rPr>
        <w:t>Health Facility Monitoring and Accreditation Agency (HEFAMAA) and Traditional Medicine Board (TMB)</w:t>
      </w:r>
      <w:r w:rsidRPr="00427C13">
        <w:rPr>
          <w:rFonts w:ascii="Verdana" w:eastAsia="Calibri" w:hAnsi="Verdana" w:cs="Arial"/>
          <w:sz w:val="18"/>
          <w:szCs w:val="18"/>
          <w:lang w:val="en-GB" w:eastAsia="en-GB"/>
        </w:rPr>
        <w:t xml:space="preserve"> have mandate for regulating health services in formal </w:t>
      </w:r>
      <w:r w:rsidRPr="00427C13">
        <w:rPr>
          <w:rFonts w:ascii="Verdana" w:eastAsia="Calibri" w:hAnsi="Verdana" w:cs="Arial"/>
          <w:sz w:val="18"/>
          <w:szCs w:val="18"/>
          <w:lang w:val="en-GB" w:eastAsia="en-GB"/>
        </w:rPr>
        <w:t xml:space="preserve"> and informal </w:t>
      </w:r>
      <w:r w:rsidRPr="00427C13">
        <w:rPr>
          <w:rFonts w:ascii="Verdana" w:eastAsia="Calibri" w:hAnsi="Verdana" w:cs="Arial"/>
          <w:sz w:val="18"/>
          <w:szCs w:val="18"/>
          <w:lang w:val="en-GB" w:eastAsia="en-GB"/>
        </w:rPr>
        <w:t xml:space="preserve">private and </w:t>
      </w:r>
      <w:r w:rsidRPr="00427C13">
        <w:rPr>
          <w:rFonts w:ascii="Verdana" w:eastAsia="Calibri" w:hAnsi="Verdana" w:cs="Arial"/>
          <w:sz w:val="18"/>
          <w:szCs w:val="18"/>
          <w:lang w:val="en-GB" w:eastAsia="en-GB"/>
        </w:rPr>
        <w:t>public facilities</w:t>
      </w:r>
    </w:p>
    <w:p w:rsidR="001A7D69" w:rsidRPr="00427C13" w:rsidRDefault="001A7D69" w:rsidP="00427C13">
      <w:pPr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val="en-GB" w:eastAsia="en-GB"/>
        </w:rPr>
      </w:pPr>
    </w:p>
    <w:p w:rsidR="0056234C" w:rsidRPr="00427C13" w:rsidRDefault="0056234C" w:rsidP="00427C13">
      <w:pPr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427C13">
        <w:rPr>
          <w:rFonts w:ascii="Verdana" w:hAnsi="Verdana" w:cs="Arial"/>
          <w:b/>
          <w:sz w:val="18"/>
          <w:szCs w:val="18"/>
        </w:rPr>
        <w:t>Methods</w:t>
      </w:r>
    </w:p>
    <w:p w:rsidR="00086916" w:rsidRPr="00603147" w:rsidRDefault="00651D55" w:rsidP="00427C1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427C13">
        <w:rPr>
          <w:rFonts w:ascii="Verdana" w:hAnsi="Verdana" w:cs="Arial"/>
          <w:sz w:val="18"/>
          <w:szCs w:val="18"/>
        </w:rPr>
        <w:t>For this research desk review of existing legislative frameworks</w:t>
      </w:r>
      <w:r w:rsidR="001A7D69" w:rsidRPr="00427C13">
        <w:rPr>
          <w:rFonts w:ascii="Verdana" w:hAnsi="Verdana" w:cs="Arial"/>
          <w:sz w:val="18"/>
          <w:szCs w:val="18"/>
        </w:rPr>
        <w:t xml:space="preserve"> was conducted</w:t>
      </w:r>
      <w:r w:rsidRPr="00427C13">
        <w:rPr>
          <w:rFonts w:ascii="Verdana" w:hAnsi="Verdana" w:cs="Arial"/>
          <w:sz w:val="18"/>
          <w:szCs w:val="18"/>
        </w:rPr>
        <w:t>. Key informant interview</w:t>
      </w:r>
      <w:r w:rsidR="00086916" w:rsidRPr="00427C13">
        <w:rPr>
          <w:rFonts w:ascii="Verdana" w:hAnsi="Verdana" w:cs="Arial"/>
          <w:sz w:val="18"/>
          <w:szCs w:val="18"/>
        </w:rPr>
        <w:t>s</w:t>
      </w:r>
      <w:r w:rsidR="00E14EE4" w:rsidRPr="00427C13">
        <w:rPr>
          <w:rFonts w:ascii="Verdana" w:hAnsi="Verdana" w:cs="Arial"/>
          <w:sz w:val="18"/>
          <w:szCs w:val="18"/>
        </w:rPr>
        <w:t xml:space="preserve"> were deployed</w:t>
      </w:r>
      <w:r w:rsidR="00427C13" w:rsidRPr="00427C13">
        <w:rPr>
          <w:rFonts w:ascii="Verdana" w:hAnsi="Verdana" w:cs="Arial"/>
          <w:sz w:val="18"/>
          <w:szCs w:val="18"/>
        </w:rPr>
        <w:t xml:space="preserve"> with relevant government officials</w:t>
      </w:r>
      <w:r w:rsidR="00E14EE4" w:rsidRPr="00427C13">
        <w:rPr>
          <w:rFonts w:ascii="Verdana" w:hAnsi="Verdana" w:cs="Arial"/>
          <w:sz w:val="18"/>
          <w:szCs w:val="18"/>
        </w:rPr>
        <w:t xml:space="preserve">. A checklist was adapted from </w:t>
      </w:r>
      <w:r w:rsidR="00086916" w:rsidRPr="00427C13">
        <w:rPr>
          <w:rFonts w:ascii="Verdana" w:hAnsi="Verdana" w:cs="Arial"/>
          <w:sz w:val="18"/>
          <w:szCs w:val="18"/>
        </w:rPr>
        <w:t>matrix for assessment of health facility accreditation/</w:t>
      </w:r>
      <w:r w:rsidR="00427C13" w:rsidRPr="00427C13">
        <w:rPr>
          <w:rFonts w:ascii="Verdana" w:hAnsi="Verdana" w:cs="Arial"/>
          <w:sz w:val="18"/>
          <w:szCs w:val="18"/>
        </w:rPr>
        <w:t>regulation</w:t>
      </w:r>
      <w:r w:rsidR="00086916" w:rsidRPr="00427C13">
        <w:rPr>
          <w:rFonts w:ascii="Verdana" w:hAnsi="Verdana" w:cs="Arial"/>
          <w:sz w:val="18"/>
          <w:szCs w:val="18"/>
        </w:rPr>
        <w:t xml:space="preserve">. </w:t>
      </w:r>
      <w:r w:rsidR="00E14EE4" w:rsidRPr="00427C13">
        <w:rPr>
          <w:rFonts w:ascii="Verdana" w:hAnsi="Verdana" w:cs="Arial"/>
          <w:sz w:val="18"/>
          <w:szCs w:val="18"/>
        </w:rPr>
        <w:t>It was used to establish</w:t>
      </w:r>
      <w:r w:rsidR="00086916" w:rsidRPr="00427C13">
        <w:rPr>
          <w:rFonts w:ascii="Verdana" w:hAnsi="Verdana" w:cs="Arial"/>
          <w:sz w:val="18"/>
          <w:szCs w:val="18"/>
        </w:rPr>
        <w:t xml:space="preserve"> a base score for health care regulation in </w:t>
      </w:r>
      <w:r w:rsidR="00E14EE4" w:rsidRPr="00427C13">
        <w:rPr>
          <w:rFonts w:ascii="Verdana" w:hAnsi="Verdana" w:cs="Arial"/>
          <w:sz w:val="18"/>
          <w:szCs w:val="18"/>
        </w:rPr>
        <w:t>Lagos with</w:t>
      </w:r>
      <w:r w:rsidR="00086916" w:rsidRPr="00427C13">
        <w:rPr>
          <w:rFonts w:ascii="Verdana" w:hAnsi="Verdana" w:cs="Arial"/>
          <w:sz w:val="18"/>
          <w:szCs w:val="18"/>
        </w:rPr>
        <w:t xml:space="preserve"> </w:t>
      </w:r>
      <w:r w:rsidR="00E14EE4" w:rsidRPr="00427C13">
        <w:rPr>
          <w:rFonts w:ascii="Verdana" w:eastAsia="Calibri" w:hAnsi="Verdana" w:cs="Arial"/>
          <w:sz w:val="18"/>
          <w:szCs w:val="18"/>
          <w:lang w:val="en-GB"/>
        </w:rPr>
        <w:t>ratings from</w:t>
      </w:r>
      <w:r w:rsidR="00086916" w:rsidRPr="00603147">
        <w:rPr>
          <w:rFonts w:ascii="Verdana" w:eastAsia="Calibri" w:hAnsi="Verdana" w:cs="Arial"/>
          <w:sz w:val="18"/>
          <w:szCs w:val="18"/>
          <w:lang w:val="en-GB"/>
        </w:rPr>
        <w:t xml:space="preserve"> the lowest score of 0 </w:t>
      </w:r>
      <w:r w:rsidR="00E14EE4" w:rsidRPr="00427C13">
        <w:rPr>
          <w:rFonts w:ascii="Verdana" w:eastAsia="Calibri" w:hAnsi="Verdana" w:cs="Arial"/>
          <w:sz w:val="18"/>
          <w:szCs w:val="18"/>
          <w:lang w:val="en-GB"/>
        </w:rPr>
        <w:t>to the highest score of 2.</w:t>
      </w:r>
    </w:p>
    <w:p w:rsidR="00086916" w:rsidRPr="00427C13" w:rsidRDefault="00086916" w:rsidP="00427C1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E14EE4" w:rsidRPr="00427C13" w:rsidRDefault="00E14EE4" w:rsidP="00427C13">
      <w:pPr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427C13">
        <w:rPr>
          <w:rFonts w:ascii="Verdana" w:hAnsi="Verdana" w:cs="Arial"/>
          <w:b/>
          <w:sz w:val="18"/>
          <w:szCs w:val="18"/>
        </w:rPr>
        <w:t>Key findings</w:t>
      </w:r>
    </w:p>
    <w:p w:rsidR="002D3786" w:rsidRPr="00427C13" w:rsidRDefault="002D3786" w:rsidP="00427C1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427C13">
        <w:rPr>
          <w:rFonts w:ascii="Verdana" w:hAnsi="Verdana" w:cs="Arial"/>
          <w:sz w:val="18"/>
          <w:szCs w:val="18"/>
        </w:rPr>
        <w:t>The findings show that</w:t>
      </w:r>
      <w:r w:rsidR="00E14EE4" w:rsidRPr="00427C13">
        <w:rPr>
          <w:rFonts w:ascii="Verdana" w:hAnsi="Verdana" w:cs="Arial"/>
          <w:sz w:val="18"/>
          <w:szCs w:val="18"/>
        </w:rPr>
        <w:t xml:space="preserve"> </w:t>
      </w:r>
      <w:r w:rsidR="00E14EE4" w:rsidRPr="00427C13">
        <w:rPr>
          <w:rFonts w:ascii="Verdana" w:hAnsi="Verdana" w:cs="Arial"/>
          <w:sz w:val="18"/>
          <w:szCs w:val="18"/>
        </w:rPr>
        <w:t xml:space="preserve">legislations and </w:t>
      </w:r>
      <w:r w:rsidR="00E14EE4" w:rsidRPr="00427C13">
        <w:rPr>
          <w:rFonts w:ascii="Verdana" w:hAnsi="Verdana" w:cs="Arial"/>
          <w:sz w:val="18"/>
          <w:szCs w:val="18"/>
        </w:rPr>
        <w:t xml:space="preserve">plans exist </w:t>
      </w:r>
      <w:r w:rsidR="00427C13">
        <w:rPr>
          <w:rFonts w:ascii="Verdana" w:hAnsi="Verdana" w:cs="Arial"/>
          <w:sz w:val="18"/>
          <w:szCs w:val="18"/>
        </w:rPr>
        <w:t>providing</w:t>
      </w:r>
      <w:r w:rsidR="00E14EE4" w:rsidRPr="00427C13">
        <w:rPr>
          <w:rFonts w:ascii="Verdana" w:hAnsi="Verdana" w:cs="Arial"/>
          <w:sz w:val="18"/>
          <w:szCs w:val="18"/>
        </w:rPr>
        <w:t xml:space="preserve"> the broad framework for healthcare regulat</w:t>
      </w:r>
      <w:r w:rsidRPr="00427C13">
        <w:rPr>
          <w:rFonts w:ascii="Verdana" w:hAnsi="Verdana" w:cs="Arial"/>
          <w:sz w:val="18"/>
          <w:szCs w:val="18"/>
        </w:rPr>
        <w:t xml:space="preserve">ion in Nigeria and Lagos State but areas of </w:t>
      </w:r>
      <w:r w:rsidRPr="00427C13">
        <w:rPr>
          <w:rFonts w:ascii="Verdana" w:hAnsi="Verdana" w:cs="Arial"/>
          <w:sz w:val="18"/>
          <w:szCs w:val="18"/>
        </w:rPr>
        <w:t xml:space="preserve">overlap in the regulatory functions of SMOH and its </w:t>
      </w:r>
      <w:r w:rsidRPr="00427C13">
        <w:rPr>
          <w:rFonts w:ascii="Verdana" w:hAnsi="Verdana" w:cs="Arial"/>
          <w:sz w:val="18"/>
          <w:szCs w:val="18"/>
        </w:rPr>
        <w:t>a</w:t>
      </w:r>
      <w:r w:rsidRPr="00427C13">
        <w:rPr>
          <w:rFonts w:ascii="Verdana" w:hAnsi="Verdana" w:cs="Arial"/>
          <w:sz w:val="18"/>
          <w:szCs w:val="18"/>
        </w:rPr>
        <w:t>gencies</w:t>
      </w:r>
      <w:r w:rsidRPr="00427C13">
        <w:rPr>
          <w:rFonts w:ascii="Verdana" w:hAnsi="Verdana" w:cs="Arial"/>
          <w:sz w:val="18"/>
          <w:szCs w:val="18"/>
        </w:rPr>
        <w:t xml:space="preserve"> exist. Agencies are grossly understaffed with lack of technical capacity for regulatory actions</w:t>
      </w:r>
      <w:r w:rsidR="004F7700" w:rsidRPr="00427C13">
        <w:rPr>
          <w:rFonts w:ascii="Verdana" w:hAnsi="Verdana" w:cs="Arial"/>
          <w:sz w:val="18"/>
          <w:szCs w:val="18"/>
        </w:rPr>
        <w:t>. The regulatory scope is limited and fragmented with evidence of uncoordinated actions and delegations. Regulatory methodologies are</w:t>
      </w:r>
      <w:r w:rsidR="00427C13">
        <w:rPr>
          <w:rFonts w:ascii="Verdana" w:hAnsi="Verdana" w:cs="Arial"/>
          <w:sz w:val="18"/>
          <w:szCs w:val="18"/>
        </w:rPr>
        <w:t xml:space="preserve"> limited to certification and licensure. </w:t>
      </w:r>
      <w:r w:rsidR="004F7700" w:rsidRPr="00427C13">
        <w:rPr>
          <w:rFonts w:ascii="Verdana" w:hAnsi="Verdana" w:cs="Arial"/>
          <w:sz w:val="18"/>
          <w:szCs w:val="18"/>
        </w:rPr>
        <w:t xml:space="preserve">Regulatory tools are inadequate with no operational guideline; Weak system </w:t>
      </w:r>
      <w:r w:rsidR="00891F0D" w:rsidRPr="00427C13">
        <w:rPr>
          <w:rFonts w:ascii="Verdana" w:hAnsi="Verdana" w:cs="Arial"/>
          <w:sz w:val="18"/>
          <w:szCs w:val="18"/>
        </w:rPr>
        <w:t>for</w:t>
      </w:r>
      <w:r w:rsidR="004F7700" w:rsidRPr="00427C13">
        <w:rPr>
          <w:rFonts w:ascii="Verdana" w:hAnsi="Verdana" w:cs="Arial"/>
          <w:sz w:val="18"/>
          <w:szCs w:val="18"/>
        </w:rPr>
        <w:t xml:space="preserve"> </w:t>
      </w:r>
      <w:r w:rsidR="004F7700" w:rsidRPr="00427C13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inspection, monitoring and evaluation</w:t>
      </w:r>
      <w:r w:rsidR="00891F0D" w:rsidRPr="00427C13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with funding challenges</w:t>
      </w:r>
      <w:r w:rsidR="004F7700" w:rsidRPr="00427C13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.</w:t>
      </w:r>
      <w:r w:rsidR="00260043" w:rsidRPr="00260043">
        <w:t xml:space="preserve"> </w:t>
      </w:r>
      <w:r w:rsidR="00260043" w:rsidRPr="00260043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Monitoring reports are not consistently used for follow up visits</w:t>
      </w:r>
      <w:r w:rsidR="00260043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with couples of cases of quackery </w:t>
      </w:r>
    </w:p>
    <w:p w:rsidR="0056234C" w:rsidRPr="00427C13" w:rsidRDefault="0056234C" w:rsidP="00427C13">
      <w:pPr>
        <w:spacing w:line="240" w:lineRule="auto"/>
        <w:jc w:val="both"/>
        <w:rPr>
          <w:rFonts w:ascii="Verdana" w:hAnsi="Verdana" w:cs="Arial"/>
          <w:sz w:val="18"/>
          <w:szCs w:val="18"/>
        </w:rPr>
      </w:pPr>
    </w:p>
    <w:p w:rsidR="0056234C" w:rsidRPr="00427C13" w:rsidRDefault="00891F0D" w:rsidP="00427C13">
      <w:pPr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427C13">
        <w:rPr>
          <w:rFonts w:ascii="Verdana" w:hAnsi="Verdana" w:cs="Arial"/>
          <w:b/>
          <w:sz w:val="18"/>
          <w:szCs w:val="18"/>
        </w:rPr>
        <w:t>Conclusion</w:t>
      </w:r>
    </w:p>
    <w:p w:rsidR="00891F0D" w:rsidRPr="00427C13" w:rsidRDefault="00891F0D" w:rsidP="00427C1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427C13">
        <w:rPr>
          <w:rFonts w:ascii="Verdana" w:hAnsi="Verdana" w:cs="Arial"/>
          <w:sz w:val="18"/>
          <w:szCs w:val="18"/>
        </w:rPr>
        <w:t xml:space="preserve">The weak regulatory landscape compounds the real challenges of huge population, </w:t>
      </w:r>
      <w:r w:rsidRPr="00891F0D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>associated demand for health services and poor health indices</w:t>
      </w:r>
      <w:r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 xml:space="preserve">. It </w:t>
      </w:r>
      <w:r w:rsidR="00FC29DD"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>poses</w:t>
      </w:r>
      <w:r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 xml:space="preserve"> a challenge in </w:t>
      </w:r>
      <w:r w:rsidR="00FC29DD"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>assuring quality for health</w:t>
      </w:r>
      <w:r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 xml:space="preserve"> care service</w:t>
      </w:r>
      <w:r w:rsidR="00FC29DD"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>s</w:t>
      </w:r>
      <w:r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 xml:space="preserve"> delivered to citizen</w:t>
      </w:r>
      <w:r w:rsidR="00FC29DD"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>s</w:t>
      </w:r>
      <w:r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 xml:space="preserve"> </w:t>
      </w:r>
      <w:r w:rsidR="00FC29DD"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>for</w:t>
      </w:r>
      <w:r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 xml:space="preserve"> </w:t>
      </w:r>
      <w:r w:rsidR="0026004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 xml:space="preserve">the </w:t>
      </w:r>
      <w:r w:rsidR="00FC29DD"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>planned roll out of</w:t>
      </w:r>
      <w:r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 xml:space="preserve"> man</w:t>
      </w:r>
      <w:r w:rsidR="00FC29DD"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>dator</w:t>
      </w:r>
      <w:r w:rsid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>y health insurance, or purchase</w:t>
      </w:r>
      <w:r w:rsidR="00FC29DD" w:rsidRPr="00427C13">
        <w:rPr>
          <w:rFonts w:ascii="Verdana" w:eastAsia="Calibri" w:hAnsi="Verdana" w:cs="Arial"/>
          <w:color w:val="000000"/>
          <w:sz w:val="18"/>
          <w:szCs w:val="18"/>
          <w:lang w:val="en-GB" w:eastAsia="en-GB"/>
        </w:rPr>
        <w:t xml:space="preserve"> from providers at public or private health facilities. It is critical to strengthen the regulatory systems and support quality improvement.</w:t>
      </w:r>
    </w:p>
    <w:p w:rsidR="00891F0D" w:rsidRDefault="00891F0D" w:rsidP="00891F0D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891F0D" w:rsidRPr="0056234C" w:rsidRDefault="00891F0D" w:rsidP="00891F0D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56234C" w:rsidRPr="0056234C" w:rsidRDefault="0056234C" w:rsidP="0056234C">
      <w:pPr>
        <w:jc w:val="both"/>
        <w:rPr>
          <w:rFonts w:ascii="Verdana" w:hAnsi="Verdana" w:cs="Arial"/>
          <w:sz w:val="18"/>
          <w:szCs w:val="18"/>
        </w:rPr>
      </w:pPr>
    </w:p>
    <w:p w:rsidR="00BC0544" w:rsidRPr="0056234C" w:rsidRDefault="00BC0544" w:rsidP="0056234C">
      <w:pPr>
        <w:spacing w:after="0"/>
        <w:rPr>
          <w:rFonts w:ascii="Arial" w:hAnsi="Arial" w:cs="Arial"/>
          <w:sz w:val="20"/>
          <w:szCs w:val="20"/>
        </w:rPr>
      </w:pPr>
    </w:p>
    <w:sectPr w:rsidR="00BC0544" w:rsidRPr="00562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AE7" w:rsidRDefault="00F82AE7" w:rsidP="00603147">
      <w:pPr>
        <w:spacing w:after="0" w:line="240" w:lineRule="auto"/>
      </w:pPr>
      <w:r>
        <w:separator/>
      </w:r>
    </w:p>
  </w:endnote>
  <w:endnote w:type="continuationSeparator" w:id="0">
    <w:p w:rsidR="00F82AE7" w:rsidRDefault="00F82AE7" w:rsidP="00603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AE7" w:rsidRDefault="00F82AE7" w:rsidP="00603147">
      <w:pPr>
        <w:spacing w:after="0" w:line="240" w:lineRule="auto"/>
      </w:pPr>
      <w:r>
        <w:separator/>
      </w:r>
    </w:p>
  </w:footnote>
  <w:footnote w:type="continuationSeparator" w:id="0">
    <w:p w:rsidR="00F82AE7" w:rsidRDefault="00F82AE7" w:rsidP="006031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4C"/>
    <w:rsid w:val="00086916"/>
    <w:rsid w:val="001A7D69"/>
    <w:rsid w:val="00260043"/>
    <w:rsid w:val="002B25E5"/>
    <w:rsid w:val="002D3786"/>
    <w:rsid w:val="00427C13"/>
    <w:rsid w:val="00472EA0"/>
    <w:rsid w:val="004F7700"/>
    <w:rsid w:val="0056234C"/>
    <w:rsid w:val="00603147"/>
    <w:rsid w:val="00651D55"/>
    <w:rsid w:val="00891F0D"/>
    <w:rsid w:val="00A27A9C"/>
    <w:rsid w:val="00BA0967"/>
    <w:rsid w:val="00BC0544"/>
    <w:rsid w:val="00BF1FDB"/>
    <w:rsid w:val="00C367A2"/>
    <w:rsid w:val="00E14EE4"/>
    <w:rsid w:val="00E17118"/>
    <w:rsid w:val="00F82AE7"/>
    <w:rsid w:val="00FC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031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031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Abt Associates Inc.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Akaoma Onyemelukwe</dc:creator>
  <cp:lastModifiedBy>Akaoma Onyemelukwe</cp:lastModifiedBy>
  <cp:revision>3</cp:revision>
  <dcterms:created xsi:type="dcterms:W3CDTF">2016-03-31T00:17:00Z</dcterms:created>
  <dcterms:modified xsi:type="dcterms:W3CDTF">2016-03-31T00:38:00Z</dcterms:modified>
</cp:coreProperties>
</file>