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F9" w:rsidRDefault="006056F9" w:rsidP="006056F9">
      <w:pPr>
        <w:spacing w:after="0" w:line="240" w:lineRule="auto"/>
        <w:jc w:val="center"/>
        <w:rPr>
          <w:rFonts w:ascii="Calibri" w:eastAsia="Times New Roman" w:hAnsi="Calibri" w:cs="Calibri"/>
          <w:b/>
          <w:bCs/>
          <w:sz w:val="36"/>
          <w:szCs w:val="36"/>
          <w:lang w:val="en-CA"/>
        </w:rPr>
      </w:pPr>
      <w:r w:rsidRPr="00BE010F">
        <w:rPr>
          <w:rFonts w:ascii="Cambria" w:hAnsi="Cambria"/>
          <w:noProof/>
          <w:sz w:val="24"/>
          <w:lang w:eastAsia="en-ZA"/>
        </w:rPr>
        <w:drawing>
          <wp:inline distT="0" distB="0" distL="0" distR="0" wp14:anchorId="3B09FB2A" wp14:editId="08F54D6F">
            <wp:extent cx="9860532" cy="1096010"/>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02.png"/>
                    <pic:cNvPicPr/>
                  </pic:nvPicPr>
                  <pic:blipFill>
                    <a:blip r:embed="rId5">
                      <a:extLst>
                        <a:ext uri="{28A0092B-C50C-407E-A947-70E740481C1C}">
                          <a14:useLocalDpi xmlns:a14="http://schemas.microsoft.com/office/drawing/2010/main" val="0"/>
                        </a:ext>
                      </a:extLst>
                    </a:blip>
                    <a:stretch>
                      <a:fillRect/>
                    </a:stretch>
                  </pic:blipFill>
                  <pic:spPr>
                    <a:xfrm>
                      <a:off x="0" y="0"/>
                      <a:ext cx="10314455" cy="1146464"/>
                    </a:xfrm>
                    <a:prstGeom prst="rect">
                      <a:avLst/>
                    </a:prstGeom>
                  </pic:spPr>
                </pic:pic>
              </a:graphicData>
            </a:graphic>
          </wp:inline>
        </w:drawing>
      </w:r>
    </w:p>
    <w:p w:rsidR="006056F9" w:rsidRDefault="006056F9" w:rsidP="006056F9">
      <w:pPr>
        <w:spacing w:after="0" w:line="240" w:lineRule="auto"/>
        <w:rPr>
          <w:rFonts w:ascii="Calibri" w:eastAsia="Times New Roman" w:hAnsi="Calibri" w:cs="Calibri"/>
          <w:b/>
          <w:bCs/>
          <w:color w:val="1F4E79" w:themeColor="accent1" w:themeShade="80"/>
          <w:sz w:val="36"/>
          <w:szCs w:val="36"/>
          <w:lang w:val="en-CA"/>
        </w:rPr>
      </w:pPr>
    </w:p>
    <w:p w:rsidR="006056F9" w:rsidRPr="00BC1A55" w:rsidRDefault="006056F9" w:rsidP="006056F9">
      <w:pPr>
        <w:spacing w:after="0" w:line="240" w:lineRule="auto"/>
        <w:jc w:val="center"/>
        <w:rPr>
          <w:rFonts w:ascii="Calibri" w:eastAsia="Times New Roman" w:hAnsi="Calibri" w:cs="Calibri"/>
          <w:b/>
          <w:bCs/>
          <w:color w:val="1F4E79" w:themeColor="accent1" w:themeShade="80"/>
          <w:sz w:val="36"/>
          <w:szCs w:val="36"/>
          <w:lang w:val="en-CA"/>
        </w:rPr>
      </w:pPr>
    </w:p>
    <w:p w:rsidR="006056F9" w:rsidRPr="0073079E" w:rsidRDefault="006056F9" w:rsidP="006056F9">
      <w:pPr>
        <w:spacing w:after="0" w:line="240" w:lineRule="auto"/>
        <w:jc w:val="center"/>
        <w:rPr>
          <w:rFonts w:ascii="Calibri" w:eastAsia="Times New Roman" w:hAnsi="Calibri" w:cs="Calibri"/>
          <w:b/>
          <w:bCs/>
          <w:color w:val="3B3838" w:themeColor="background2" w:themeShade="40"/>
          <w:sz w:val="36"/>
          <w:szCs w:val="36"/>
          <w:lang w:val="en-CA"/>
        </w:rPr>
      </w:pPr>
      <w:r w:rsidRPr="0073079E">
        <w:rPr>
          <w:rFonts w:ascii="Calibri" w:eastAsia="Times New Roman" w:hAnsi="Calibri" w:cs="Calibri"/>
          <w:b/>
          <w:bCs/>
          <w:color w:val="3B3838" w:themeColor="background2" w:themeShade="40"/>
          <w:sz w:val="36"/>
          <w:szCs w:val="36"/>
          <w:lang w:val="en-CA"/>
        </w:rPr>
        <w:t>School of Public Health and Family Medicine</w:t>
      </w:r>
    </w:p>
    <w:p w:rsidR="006056F9" w:rsidRPr="0073079E" w:rsidRDefault="006056F9" w:rsidP="006056F9">
      <w:pPr>
        <w:spacing w:after="0" w:line="240" w:lineRule="auto"/>
        <w:jc w:val="center"/>
        <w:rPr>
          <w:rFonts w:ascii="Calibri" w:eastAsia="Times New Roman" w:hAnsi="Calibri" w:cs="Calibri"/>
          <w:b/>
          <w:bCs/>
          <w:color w:val="3B3838" w:themeColor="background2" w:themeShade="40"/>
          <w:sz w:val="36"/>
          <w:szCs w:val="36"/>
          <w:lang w:val="en-CA"/>
        </w:rPr>
      </w:pPr>
    </w:p>
    <w:p w:rsidR="006056F9" w:rsidRDefault="006056F9" w:rsidP="006056F9">
      <w:pPr>
        <w:spacing w:after="0" w:line="240" w:lineRule="auto"/>
        <w:jc w:val="center"/>
        <w:rPr>
          <w:rFonts w:ascii="Calibri" w:eastAsia="Times New Roman" w:hAnsi="Calibri" w:cs="Calibri"/>
          <w:b/>
          <w:bCs/>
          <w:color w:val="3B3838" w:themeColor="background2" w:themeShade="40"/>
          <w:sz w:val="36"/>
          <w:szCs w:val="36"/>
          <w:lang w:val="en-CA"/>
        </w:rPr>
      </w:pPr>
      <w:r w:rsidRPr="0073079E">
        <w:rPr>
          <w:rFonts w:ascii="Calibri" w:eastAsia="Times New Roman" w:hAnsi="Calibri" w:cs="Calibri"/>
          <w:b/>
          <w:bCs/>
          <w:color w:val="3B3838" w:themeColor="background2" w:themeShade="40"/>
          <w:sz w:val="36"/>
          <w:szCs w:val="36"/>
          <w:lang w:val="en-CA"/>
        </w:rPr>
        <w:t>Health Economics Unit</w:t>
      </w:r>
    </w:p>
    <w:p w:rsidR="0023340D" w:rsidRDefault="0023340D" w:rsidP="006056F9">
      <w:pPr>
        <w:spacing w:after="0" w:line="240" w:lineRule="auto"/>
        <w:jc w:val="center"/>
        <w:rPr>
          <w:rFonts w:ascii="Calibri" w:eastAsia="Times New Roman" w:hAnsi="Calibri" w:cs="Calibri"/>
          <w:b/>
          <w:bCs/>
          <w:color w:val="3B3838" w:themeColor="background2" w:themeShade="40"/>
          <w:sz w:val="36"/>
          <w:szCs w:val="36"/>
          <w:lang w:val="en-CA"/>
        </w:rPr>
      </w:pPr>
    </w:p>
    <w:p w:rsidR="0023340D" w:rsidRDefault="0023340D" w:rsidP="006056F9">
      <w:pPr>
        <w:spacing w:after="0" w:line="240" w:lineRule="auto"/>
        <w:jc w:val="center"/>
        <w:rPr>
          <w:rFonts w:ascii="Calibri" w:eastAsia="Times New Roman" w:hAnsi="Calibri" w:cs="Calibri"/>
          <w:b/>
          <w:bCs/>
          <w:color w:val="3B3838" w:themeColor="background2" w:themeShade="40"/>
          <w:sz w:val="36"/>
          <w:szCs w:val="36"/>
          <w:lang w:val="en-CA"/>
        </w:rPr>
      </w:pPr>
    </w:p>
    <w:p w:rsidR="0023340D" w:rsidRDefault="0023340D" w:rsidP="006056F9">
      <w:pPr>
        <w:spacing w:after="0" w:line="240" w:lineRule="auto"/>
        <w:jc w:val="center"/>
        <w:rPr>
          <w:rFonts w:ascii="Calibri" w:eastAsia="Times New Roman" w:hAnsi="Calibri" w:cs="Calibri"/>
          <w:b/>
          <w:bCs/>
          <w:color w:val="3B3838" w:themeColor="background2" w:themeShade="40"/>
          <w:sz w:val="36"/>
          <w:szCs w:val="36"/>
          <w:lang w:val="en-CA"/>
        </w:rPr>
      </w:pPr>
    </w:p>
    <w:p w:rsidR="0023340D" w:rsidRDefault="0023340D" w:rsidP="006056F9">
      <w:pPr>
        <w:spacing w:after="0" w:line="240" w:lineRule="auto"/>
        <w:jc w:val="center"/>
        <w:rPr>
          <w:rFonts w:ascii="Calibri" w:eastAsia="Times New Roman" w:hAnsi="Calibri" w:cs="Calibri"/>
          <w:b/>
          <w:bCs/>
          <w:color w:val="3B3838" w:themeColor="background2" w:themeShade="40"/>
          <w:sz w:val="36"/>
          <w:szCs w:val="36"/>
          <w:lang w:val="en-CA"/>
        </w:rPr>
      </w:pPr>
    </w:p>
    <w:p w:rsidR="0023340D" w:rsidRPr="0073079E" w:rsidRDefault="0023340D" w:rsidP="006056F9">
      <w:pPr>
        <w:spacing w:after="0" w:line="240" w:lineRule="auto"/>
        <w:jc w:val="center"/>
        <w:rPr>
          <w:rFonts w:ascii="Calibri" w:eastAsia="Times New Roman" w:hAnsi="Calibri" w:cs="Calibri"/>
          <w:b/>
          <w:bCs/>
          <w:color w:val="3B3838" w:themeColor="background2" w:themeShade="40"/>
          <w:sz w:val="36"/>
          <w:szCs w:val="36"/>
          <w:lang w:val="en-CA"/>
        </w:rPr>
      </w:pPr>
    </w:p>
    <w:p w:rsidR="0023340D" w:rsidRPr="0023340D" w:rsidRDefault="0023340D" w:rsidP="0023340D">
      <w:pPr>
        <w:spacing w:after="0" w:line="240" w:lineRule="auto"/>
        <w:rPr>
          <w:rFonts w:ascii="Calibri" w:eastAsia="Times New Roman" w:hAnsi="Calibri" w:cs="Calibri"/>
          <w:b/>
          <w:bCs/>
          <w:color w:val="3B3838" w:themeColor="background2" w:themeShade="40"/>
          <w:lang w:val="en-GB"/>
        </w:rPr>
      </w:pPr>
    </w:p>
    <w:p w:rsidR="0023340D" w:rsidRPr="0023340D" w:rsidRDefault="0023340D" w:rsidP="0023340D">
      <w:pPr>
        <w:spacing w:after="0" w:line="240" w:lineRule="auto"/>
        <w:jc w:val="center"/>
        <w:rPr>
          <w:rFonts w:ascii="Calibri" w:eastAsia="Times New Roman" w:hAnsi="Calibri" w:cs="Calibri"/>
          <w:b/>
          <w:bCs/>
          <w:color w:val="3B3838" w:themeColor="background2" w:themeShade="40"/>
          <w:sz w:val="36"/>
          <w:szCs w:val="36"/>
          <w:lang w:val="en-GB"/>
        </w:rPr>
      </w:pPr>
      <w:r>
        <w:rPr>
          <w:rFonts w:ascii="Calibri" w:eastAsia="Times New Roman" w:hAnsi="Calibri" w:cs="Calibri"/>
          <w:b/>
          <w:bCs/>
          <w:color w:val="3B3838" w:themeColor="background2" w:themeShade="40"/>
          <w:sz w:val="36"/>
          <w:szCs w:val="36"/>
          <w:lang w:val="en-GB"/>
        </w:rPr>
        <w:t xml:space="preserve">Abstract for the </w:t>
      </w:r>
      <w:r w:rsidRPr="0023340D">
        <w:rPr>
          <w:rFonts w:ascii="Calibri" w:eastAsia="Times New Roman" w:hAnsi="Calibri" w:cs="Calibri"/>
          <w:b/>
          <w:bCs/>
          <w:color w:val="3B3838" w:themeColor="background2" w:themeShade="40"/>
          <w:sz w:val="36"/>
          <w:szCs w:val="36"/>
          <w:lang w:val="en-GB"/>
        </w:rPr>
        <w:t xml:space="preserve">Fifth </w:t>
      </w:r>
      <w:proofErr w:type="spellStart"/>
      <w:r w:rsidRPr="0023340D">
        <w:rPr>
          <w:rFonts w:ascii="Calibri" w:eastAsia="Times New Roman" w:hAnsi="Calibri" w:cs="Calibri"/>
          <w:b/>
          <w:bCs/>
          <w:color w:val="3B3838" w:themeColor="background2" w:themeShade="40"/>
          <w:sz w:val="36"/>
          <w:szCs w:val="36"/>
          <w:lang w:val="en-GB"/>
        </w:rPr>
        <w:t>AfHEA</w:t>
      </w:r>
      <w:proofErr w:type="spellEnd"/>
      <w:r w:rsidRPr="0023340D">
        <w:rPr>
          <w:rFonts w:ascii="Calibri" w:eastAsia="Times New Roman" w:hAnsi="Calibri" w:cs="Calibri"/>
          <w:b/>
          <w:bCs/>
          <w:color w:val="3B3838" w:themeColor="background2" w:themeShade="40"/>
          <w:sz w:val="36"/>
          <w:szCs w:val="36"/>
          <w:lang w:val="en-GB"/>
        </w:rPr>
        <w:t xml:space="preserve"> Scientific Conference to be held in Accra, Ghana, from 11 to 14 March 2019</w:t>
      </w:r>
    </w:p>
    <w:p w:rsidR="006056F9" w:rsidRPr="0073079E" w:rsidRDefault="006056F9" w:rsidP="006056F9">
      <w:pPr>
        <w:spacing w:after="0" w:line="240" w:lineRule="auto"/>
        <w:jc w:val="center"/>
        <w:rPr>
          <w:rFonts w:ascii="Calibri" w:eastAsia="Times New Roman" w:hAnsi="Calibri" w:cs="Calibri"/>
          <w:b/>
          <w:bCs/>
          <w:color w:val="3B3838" w:themeColor="background2" w:themeShade="40"/>
          <w:sz w:val="36"/>
          <w:szCs w:val="36"/>
          <w:lang w:val="en-CA"/>
        </w:rPr>
      </w:pPr>
      <w:r w:rsidRPr="0073079E">
        <w:rPr>
          <w:rFonts w:ascii="Calibri" w:eastAsia="Times New Roman" w:hAnsi="Calibri" w:cs="Calibri"/>
          <w:b/>
          <w:bCs/>
          <w:color w:val="3B3838" w:themeColor="background2" w:themeShade="40"/>
          <w:sz w:val="36"/>
          <w:szCs w:val="36"/>
          <w:lang w:val="en-CA"/>
        </w:rPr>
        <w:t xml:space="preserve"> </w:t>
      </w:r>
    </w:p>
    <w:p w:rsidR="006056F9" w:rsidRPr="00CC121E" w:rsidRDefault="006056F9" w:rsidP="006056F9">
      <w:pPr>
        <w:spacing w:line="240" w:lineRule="auto"/>
        <w:jc w:val="both"/>
        <w:rPr>
          <w:color w:val="002060"/>
        </w:rPr>
      </w:pPr>
    </w:p>
    <w:p w:rsidR="006056F9" w:rsidRPr="00E26B7B" w:rsidRDefault="006056F9" w:rsidP="006056F9">
      <w:pPr>
        <w:pStyle w:val="Heading1"/>
        <w:jc w:val="both"/>
        <w:rPr>
          <w:rFonts w:asciiTheme="minorHAnsi" w:eastAsia="Times New Roman" w:hAnsiTheme="minorHAnsi" w:cs="Times New Roman"/>
          <w:b/>
          <w:bCs/>
          <w:color w:val="002060"/>
          <w:sz w:val="24"/>
          <w:szCs w:val="24"/>
          <w:lang w:val="en-US"/>
        </w:rPr>
      </w:pPr>
      <w:r w:rsidRPr="00E26B7B">
        <w:rPr>
          <w:rFonts w:asciiTheme="minorHAnsi" w:hAnsiTheme="minorHAnsi"/>
          <w:b/>
          <w:color w:val="002060"/>
          <w:sz w:val="24"/>
          <w:szCs w:val="24"/>
        </w:rPr>
        <w:t xml:space="preserve">Principal Investigator (A): </w:t>
      </w:r>
      <w:r w:rsidRPr="00E26B7B">
        <w:rPr>
          <w:rFonts w:asciiTheme="minorHAnsi" w:hAnsiTheme="minorHAnsi"/>
          <w:b/>
          <w:color w:val="002060"/>
          <w:sz w:val="24"/>
          <w:szCs w:val="24"/>
        </w:rPr>
        <w:tab/>
        <w:t xml:space="preserve">        </w:t>
      </w:r>
      <w:r w:rsidRPr="00E26B7B">
        <w:rPr>
          <w:rFonts w:asciiTheme="minorHAnsi" w:eastAsia="Times New Roman" w:hAnsiTheme="minorHAnsi" w:cs="Times New Roman"/>
          <w:b/>
          <w:bCs/>
          <w:color w:val="002060"/>
          <w:sz w:val="24"/>
          <w:szCs w:val="24"/>
          <w:lang w:val="en-US"/>
        </w:rPr>
        <w:t xml:space="preserve">Odwa </w:t>
      </w:r>
      <w:proofErr w:type="spellStart"/>
      <w:r w:rsidRPr="00E26B7B">
        <w:rPr>
          <w:rFonts w:asciiTheme="minorHAnsi" w:eastAsia="Times New Roman" w:hAnsiTheme="minorHAnsi" w:cs="Times New Roman"/>
          <w:b/>
          <w:bCs/>
          <w:color w:val="002060"/>
          <w:sz w:val="24"/>
          <w:szCs w:val="24"/>
          <w:lang w:val="en-US"/>
        </w:rPr>
        <w:t>Mfolozi</w:t>
      </w:r>
      <w:proofErr w:type="spellEnd"/>
      <w:r w:rsidRPr="00E26B7B">
        <w:rPr>
          <w:rFonts w:asciiTheme="minorHAnsi" w:eastAsia="Times New Roman" w:hAnsiTheme="minorHAnsi" w:cs="Times New Roman"/>
          <w:b/>
          <w:bCs/>
          <w:color w:val="002060"/>
          <w:sz w:val="24"/>
          <w:szCs w:val="24"/>
          <w:lang w:val="en-US"/>
        </w:rPr>
        <w:tab/>
      </w:r>
    </w:p>
    <w:p w:rsidR="006056F9" w:rsidRPr="00E26B7B" w:rsidRDefault="006056F9" w:rsidP="006056F9">
      <w:pPr>
        <w:keepNext/>
        <w:spacing w:after="0" w:line="240" w:lineRule="auto"/>
        <w:jc w:val="both"/>
        <w:outlineLvl w:val="0"/>
        <w:rPr>
          <w:rFonts w:eastAsia="Times New Roman" w:cs="Times New Roman"/>
          <w:b/>
          <w:bCs/>
          <w:color w:val="002060"/>
          <w:sz w:val="24"/>
          <w:szCs w:val="24"/>
          <w:lang w:val="en-US"/>
        </w:rPr>
      </w:pPr>
      <w:r w:rsidRPr="00E26B7B">
        <w:rPr>
          <w:rFonts w:eastAsia="Times New Roman" w:cs="Times New Roman"/>
          <w:b/>
          <w:bCs/>
          <w:color w:val="002060"/>
          <w:sz w:val="24"/>
          <w:szCs w:val="24"/>
          <w:lang w:val="en-US"/>
        </w:rPr>
        <w:tab/>
      </w:r>
      <w:r w:rsidRPr="00E26B7B">
        <w:rPr>
          <w:rFonts w:eastAsia="Times New Roman" w:cs="Times New Roman"/>
          <w:b/>
          <w:bCs/>
          <w:color w:val="002060"/>
          <w:sz w:val="24"/>
          <w:szCs w:val="24"/>
          <w:lang w:val="en-US"/>
        </w:rPr>
        <w:tab/>
      </w:r>
      <w:r w:rsidRPr="00E26B7B">
        <w:rPr>
          <w:rFonts w:eastAsia="Times New Roman" w:cs="Times New Roman"/>
          <w:b/>
          <w:bCs/>
          <w:color w:val="002060"/>
          <w:sz w:val="24"/>
          <w:szCs w:val="24"/>
          <w:lang w:val="en-US"/>
        </w:rPr>
        <w:tab/>
      </w:r>
      <w:r w:rsidRPr="00E26B7B">
        <w:rPr>
          <w:rFonts w:eastAsia="Times New Roman" w:cs="Times New Roman"/>
          <w:b/>
          <w:bCs/>
          <w:color w:val="002060"/>
          <w:sz w:val="24"/>
          <w:szCs w:val="24"/>
          <w:lang w:val="en-US"/>
        </w:rPr>
        <w:tab/>
        <w:t xml:space="preserve">         Ph.  0735602160</w:t>
      </w:r>
    </w:p>
    <w:p w:rsidR="006056F9" w:rsidRPr="00E26B7B" w:rsidRDefault="006056F9" w:rsidP="006056F9">
      <w:pPr>
        <w:keepNext/>
        <w:spacing w:after="0" w:line="240" w:lineRule="auto"/>
        <w:jc w:val="both"/>
        <w:outlineLvl w:val="0"/>
        <w:rPr>
          <w:rFonts w:eastAsia="Times New Roman" w:cs="Times New Roman"/>
          <w:b/>
          <w:bCs/>
          <w:color w:val="002060"/>
          <w:sz w:val="24"/>
          <w:szCs w:val="24"/>
          <w:lang w:val="en-US"/>
        </w:rPr>
      </w:pPr>
      <w:r w:rsidRPr="00E26B7B">
        <w:rPr>
          <w:rFonts w:eastAsia="Times New Roman" w:cs="Times New Roman"/>
          <w:b/>
          <w:bCs/>
          <w:color w:val="002060"/>
          <w:sz w:val="24"/>
          <w:szCs w:val="24"/>
          <w:lang w:val="en-US"/>
        </w:rPr>
        <w:t xml:space="preserve">                                    </w:t>
      </w:r>
      <w:r>
        <w:rPr>
          <w:rFonts w:eastAsia="Times New Roman" w:cs="Times New Roman"/>
          <w:b/>
          <w:bCs/>
          <w:color w:val="002060"/>
          <w:sz w:val="24"/>
          <w:szCs w:val="24"/>
          <w:lang w:val="en-US"/>
        </w:rPr>
        <w:t xml:space="preserve">                          </w:t>
      </w:r>
      <w:r w:rsidRPr="00E26B7B">
        <w:rPr>
          <w:rFonts w:eastAsia="Times New Roman" w:cs="Times New Roman"/>
          <w:b/>
          <w:bCs/>
          <w:color w:val="002060"/>
          <w:sz w:val="24"/>
          <w:szCs w:val="24"/>
          <w:lang w:val="en-US"/>
        </w:rPr>
        <w:t xml:space="preserve">Email: </w:t>
      </w:r>
      <w:hyperlink r:id="rId6" w:history="1">
        <w:r w:rsidRPr="00E26B7B">
          <w:rPr>
            <w:rStyle w:val="Hyperlink"/>
            <w:rFonts w:eastAsia="Times New Roman" w:cs="Times New Roman"/>
            <w:b/>
            <w:bCs/>
            <w:color w:val="002060"/>
            <w:sz w:val="24"/>
            <w:szCs w:val="24"/>
            <w:lang w:val="en-US"/>
          </w:rPr>
          <w:t>MFLODW001@myuct.ac.za</w:t>
        </w:r>
      </w:hyperlink>
    </w:p>
    <w:p w:rsidR="006056F9" w:rsidRPr="00E26B7B" w:rsidRDefault="006056F9" w:rsidP="006056F9">
      <w:pPr>
        <w:keepNext/>
        <w:spacing w:after="0" w:line="240" w:lineRule="auto"/>
        <w:jc w:val="both"/>
        <w:outlineLvl w:val="0"/>
        <w:rPr>
          <w:rFonts w:eastAsia="Times New Roman" w:cs="Times New Roman"/>
          <w:b/>
          <w:bCs/>
          <w:color w:val="002060"/>
          <w:sz w:val="24"/>
          <w:szCs w:val="24"/>
          <w:lang w:val="en-US"/>
        </w:rPr>
      </w:pPr>
      <w:r w:rsidRPr="00E26B7B">
        <w:rPr>
          <w:rFonts w:eastAsia="Times New Roman" w:cs="Times New Roman"/>
          <w:b/>
          <w:bCs/>
          <w:color w:val="002060"/>
          <w:sz w:val="24"/>
          <w:szCs w:val="24"/>
          <w:lang w:val="en-US"/>
        </w:rPr>
        <w:t xml:space="preserve">                                   </w:t>
      </w:r>
      <w:r>
        <w:rPr>
          <w:rFonts w:eastAsia="Times New Roman" w:cs="Times New Roman"/>
          <w:b/>
          <w:bCs/>
          <w:color w:val="002060"/>
          <w:sz w:val="24"/>
          <w:szCs w:val="24"/>
          <w:lang w:val="en-US"/>
        </w:rPr>
        <w:t xml:space="preserve">                           </w:t>
      </w:r>
      <w:r w:rsidRPr="00E26B7B">
        <w:rPr>
          <w:rFonts w:eastAsia="Times New Roman" w:cs="Times New Roman"/>
          <w:b/>
          <w:bCs/>
          <w:color w:val="002060"/>
          <w:sz w:val="24"/>
          <w:szCs w:val="24"/>
          <w:lang w:val="en-US"/>
        </w:rPr>
        <w:t>Student number: MFLODW001</w:t>
      </w:r>
    </w:p>
    <w:p w:rsidR="006056F9" w:rsidRPr="00E26B7B" w:rsidRDefault="006056F9" w:rsidP="006056F9">
      <w:pPr>
        <w:keepNext/>
        <w:spacing w:after="0" w:line="240" w:lineRule="auto"/>
        <w:jc w:val="both"/>
        <w:outlineLvl w:val="0"/>
        <w:rPr>
          <w:rFonts w:eastAsia="Times New Roman" w:cs="Times New Roman"/>
          <w:b/>
          <w:bCs/>
          <w:color w:val="002060"/>
          <w:sz w:val="24"/>
          <w:szCs w:val="24"/>
          <w:lang w:val="en-US"/>
        </w:rPr>
      </w:pPr>
    </w:p>
    <w:p w:rsidR="006056F9" w:rsidRPr="00E26B7B" w:rsidRDefault="006056F9" w:rsidP="006056F9">
      <w:pPr>
        <w:spacing w:line="240" w:lineRule="auto"/>
        <w:jc w:val="both"/>
        <w:rPr>
          <w:rFonts w:cs="Arial"/>
          <w:b/>
          <w:color w:val="002060"/>
          <w:sz w:val="24"/>
          <w:szCs w:val="24"/>
        </w:rPr>
      </w:pPr>
      <w:r w:rsidRPr="00E26B7B">
        <w:rPr>
          <w:b/>
          <w:color w:val="002060"/>
          <w:sz w:val="24"/>
          <w:szCs w:val="24"/>
        </w:rPr>
        <w:t>Supervising Investigator (</w:t>
      </w:r>
      <w:r>
        <w:rPr>
          <w:b/>
          <w:color w:val="002060"/>
          <w:sz w:val="24"/>
          <w:szCs w:val="24"/>
        </w:rPr>
        <w:t xml:space="preserve">B):           </w:t>
      </w:r>
      <w:r w:rsidRPr="00E26B7B">
        <w:rPr>
          <w:b/>
          <w:color w:val="002060"/>
          <w:sz w:val="24"/>
          <w:szCs w:val="24"/>
        </w:rPr>
        <w:t>Dr O Alaba</w:t>
      </w:r>
      <w:r w:rsidRPr="00E26B7B">
        <w:rPr>
          <w:rFonts w:cs="Arial"/>
          <w:b/>
          <w:color w:val="002060"/>
          <w:sz w:val="24"/>
          <w:szCs w:val="24"/>
        </w:rPr>
        <w:t xml:space="preserve"> </w:t>
      </w:r>
    </w:p>
    <w:p w:rsidR="006056F9" w:rsidRPr="00E26B7B" w:rsidRDefault="006056F9" w:rsidP="006056F9">
      <w:pPr>
        <w:spacing w:line="240" w:lineRule="auto"/>
        <w:jc w:val="both"/>
        <w:rPr>
          <w:rFonts w:cs="Arial"/>
          <w:b/>
          <w:color w:val="002060"/>
          <w:sz w:val="24"/>
          <w:szCs w:val="24"/>
        </w:rPr>
      </w:pPr>
      <w:r w:rsidRPr="00E26B7B">
        <w:rPr>
          <w:rFonts w:cs="Arial"/>
          <w:b/>
          <w:color w:val="002060"/>
          <w:sz w:val="24"/>
          <w:szCs w:val="24"/>
        </w:rPr>
        <w:t xml:space="preserve">                                  </w:t>
      </w:r>
      <w:r>
        <w:rPr>
          <w:rFonts w:cs="Arial"/>
          <w:b/>
          <w:color w:val="002060"/>
          <w:sz w:val="24"/>
          <w:szCs w:val="24"/>
        </w:rPr>
        <w:t xml:space="preserve">                             </w:t>
      </w:r>
      <w:r w:rsidRPr="00E26B7B">
        <w:rPr>
          <w:rFonts w:cs="Arial"/>
          <w:b/>
          <w:color w:val="002060"/>
          <w:sz w:val="24"/>
          <w:szCs w:val="24"/>
        </w:rPr>
        <w:t xml:space="preserve">Email: </w:t>
      </w:r>
      <w:hyperlink r:id="rId7" w:history="1">
        <w:r w:rsidRPr="00E26B7B">
          <w:rPr>
            <w:rStyle w:val="Hyperlink"/>
            <w:rFonts w:cs="Arial"/>
            <w:b/>
            <w:color w:val="002060"/>
            <w:sz w:val="24"/>
            <w:szCs w:val="24"/>
          </w:rPr>
          <w:t>Olufunke.alaba@uct.ac.za</w:t>
        </w:r>
      </w:hyperlink>
    </w:p>
    <w:p w:rsidR="006056F9" w:rsidRPr="00E26B7B" w:rsidRDefault="006056F9" w:rsidP="006056F9">
      <w:pPr>
        <w:spacing w:line="240" w:lineRule="auto"/>
        <w:jc w:val="both"/>
        <w:rPr>
          <w:rFonts w:cs="Arial"/>
          <w:b/>
          <w:color w:val="002060"/>
          <w:sz w:val="24"/>
          <w:szCs w:val="24"/>
        </w:rPr>
      </w:pPr>
      <w:r w:rsidRPr="00E26B7B">
        <w:rPr>
          <w:rFonts w:cs="Arial"/>
          <w:b/>
          <w:color w:val="002060"/>
          <w:sz w:val="24"/>
          <w:szCs w:val="24"/>
        </w:rPr>
        <w:t xml:space="preserve">                                                           </w:t>
      </w:r>
      <w:r>
        <w:rPr>
          <w:rFonts w:cs="Arial"/>
          <w:b/>
          <w:color w:val="002060"/>
          <w:sz w:val="24"/>
          <w:szCs w:val="24"/>
        </w:rPr>
        <w:t xml:space="preserve">    </w:t>
      </w:r>
      <w:r w:rsidRPr="00E26B7B">
        <w:rPr>
          <w:rFonts w:cs="Arial"/>
          <w:b/>
          <w:color w:val="002060"/>
          <w:sz w:val="24"/>
          <w:szCs w:val="24"/>
        </w:rPr>
        <w:t>Health Economics Unit</w:t>
      </w:r>
    </w:p>
    <w:p w:rsidR="006056F9" w:rsidRPr="00E26B7B" w:rsidRDefault="006056F9" w:rsidP="006056F9">
      <w:pPr>
        <w:spacing w:line="240" w:lineRule="auto"/>
        <w:jc w:val="both"/>
        <w:rPr>
          <w:rFonts w:cs="Arial"/>
          <w:b/>
          <w:color w:val="002060"/>
          <w:sz w:val="24"/>
          <w:szCs w:val="24"/>
        </w:rPr>
      </w:pPr>
      <w:r w:rsidRPr="00E26B7B">
        <w:rPr>
          <w:rFonts w:cs="Arial"/>
          <w:b/>
          <w:color w:val="002060"/>
          <w:sz w:val="24"/>
          <w:szCs w:val="24"/>
        </w:rPr>
        <w:t xml:space="preserve">                                                           </w:t>
      </w:r>
      <w:r>
        <w:rPr>
          <w:rFonts w:cs="Arial"/>
          <w:b/>
          <w:color w:val="002060"/>
          <w:sz w:val="24"/>
          <w:szCs w:val="24"/>
        </w:rPr>
        <w:t xml:space="preserve">    </w:t>
      </w:r>
      <w:r w:rsidRPr="00E26B7B">
        <w:rPr>
          <w:rFonts w:cs="Arial"/>
          <w:b/>
          <w:color w:val="002060"/>
          <w:sz w:val="24"/>
          <w:szCs w:val="24"/>
        </w:rPr>
        <w:t>School of Public Health and Family Medicine</w:t>
      </w:r>
    </w:p>
    <w:p w:rsidR="006056F9" w:rsidRPr="00E26B7B" w:rsidRDefault="006056F9" w:rsidP="006056F9">
      <w:pPr>
        <w:spacing w:line="240" w:lineRule="auto"/>
        <w:jc w:val="both"/>
        <w:rPr>
          <w:rFonts w:cs="Arial"/>
          <w:b/>
          <w:color w:val="002060"/>
          <w:sz w:val="24"/>
          <w:szCs w:val="24"/>
        </w:rPr>
      </w:pPr>
      <w:r w:rsidRPr="00E26B7B">
        <w:rPr>
          <w:rFonts w:cs="Arial"/>
          <w:b/>
          <w:color w:val="002060"/>
          <w:sz w:val="24"/>
          <w:szCs w:val="24"/>
        </w:rPr>
        <w:t xml:space="preserve">                                                            </w:t>
      </w:r>
      <w:r>
        <w:rPr>
          <w:rFonts w:cs="Arial"/>
          <w:b/>
          <w:color w:val="002060"/>
          <w:sz w:val="24"/>
          <w:szCs w:val="24"/>
        </w:rPr>
        <w:t xml:space="preserve">    </w:t>
      </w:r>
      <w:r w:rsidRPr="00E26B7B">
        <w:rPr>
          <w:rFonts w:cs="Arial"/>
          <w:b/>
          <w:color w:val="002060"/>
          <w:sz w:val="24"/>
          <w:szCs w:val="24"/>
        </w:rPr>
        <w:t>Faculty of Health Sciences</w:t>
      </w:r>
    </w:p>
    <w:p w:rsidR="006056F9" w:rsidRPr="00E26B7B" w:rsidRDefault="006056F9" w:rsidP="006056F9">
      <w:pPr>
        <w:spacing w:line="240" w:lineRule="auto"/>
        <w:jc w:val="both"/>
        <w:rPr>
          <w:b/>
          <w:color w:val="002060"/>
          <w:sz w:val="24"/>
          <w:szCs w:val="24"/>
        </w:rPr>
      </w:pPr>
      <w:r w:rsidRPr="00E26B7B">
        <w:rPr>
          <w:rFonts w:cs="Arial"/>
          <w:b/>
          <w:color w:val="002060"/>
          <w:sz w:val="24"/>
          <w:szCs w:val="24"/>
        </w:rPr>
        <w:t xml:space="preserve">                                                             </w:t>
      </w:r>
      <w:r>
        <w:rPr>
          <w:rFonts w:cs="Arial"/>
          <w:b/>
          <w:color w:val="002060"/>
          <w:sz w:val="24"/>
          <w:szCs w:val="24"/>
        </w:rPr>
        <w:t xml:space="preserve">   </w:t>
      </w:r>
      <w:r w:rsidRPr="00E26B7B">
        <w:rPr>
          <w:rFonts w:cs="Arial"/>
          <w:b/>
          <w:color w:val="002060"/>
          <w:sz w:val="24"/>
          <w:szCs w:val="24"/>
        </w:rPr>
        <w:t>University of Cape Town</w:t>
      </w:r>
      <w:r w:rsidRPr="00E26B7B">
        <w:rPr>
          <w:b/>
          <w:color w:val="002060"/>
          <w:sz w:val="24"/>
          <w:szCs w:val="24"/>
        </w:rPr>
        <w:tab/>
      </w:r>
      <w:r w:rsidRPr="00E26B7B">
        <w:rPr>
          <w:b/>
          <w:color w:val="002060"/>
          <w:sz w:val="24"/>
          <w:szCs w:val="24"/>
        </w:rPr>
        <w:tab/>
      </w:r>
    </w:p>
    <w:p w:rsidR="006056F9" w:rsidRDefault="006056F9" w:rsidP="006056F9">
      <w:pPr>
        <w:rPr>
          <w:color w:val="002060"/>
        </w:rPr>
      </w:pPr>
      <w:r>
        <w:rPr>
          <w:color w:val="002060"/>
        </w:rPr>
        <w:br w:type="page"/>
      </w:r>
    </w:p>
    <w:p w:rsidR="006056F9" w:rsidRDefault="006056F9" w:rsidP="000302BE">
      <w:pPr>
        <w:spacing w:line="360" w:lineRule="auto"/>
        <w:jc w:val="both"/>
        <w:rPr>
          <w:b/>
          <w:sz w:val="24"/>
          <w:szCs w:val="24"/>
        </w:rPr>
      </w:pPr>
      <w:r w:rsidRPr="00903001">
        <w:rPr>
          <w:b/>
          <w:sz w:val="24"/>
          <w:szCs w:val="24"/>
        </w:rPr>
        <w:lastRenderedPageBreak/>
        <w:t xml:space="preserve">NCD’s and economic outcomes in South Africa: a cohort study for the period of 2008-2016 </w:t>
      </w:r>
      <w:bookmarkStart w:id="0" w:name="_GoBack"/>
      <w:bookmarkEnd w:id="0"/>
      <w:r w:rsidRPr="00903001">
        <w:rPr>
          <w:b/>
          <w:sz w:val="24"/>
          <w:szCs w:val="24"/>
        </w:rPr>
        <w:t>at individual and household level</w:t>
      </w:r>
    </w:p>
    <w:p w:rsidR="008648C8" w:rsidRPr="000302BE" w:rsidRDefault="008648C8" w:rsidP="000302BE">
      <w:pPr>
        <w:spacing w:line="360" w:lineRule="auto"/>
        <w:jc w:val="both"/>
        <w:rPr>
          <w:b/>
          <w:sz w:val="24"/>
          <w:szCs w:val="24"/>
        </w:rPr>
      </w:pPr>
      <w:r w:rsidRPr="000302BE">
        <w:rPr>
          <w:b/>
          <w:sz w:val="24"/>
          <w:szCs w:val="24"/>
        </w:rPr>
        <w:t>Abstract</w:t>
      </w:r>
    </w:p>
    <w:p w:rsidR="008648C8" w:rsidRPr="003C0DD8" w:rsidRDefault="008648C8" w:rsidP="000302BE">
      <w:pPr>
        <w:spacing w:line="360" w:lineRule="auto"/>
        <w:jc w:val="both"/>
        <w:rPr>
          <w:sz w:val="24"/>
          <w:szCs w:val="24"/>
        </w:rPr>
      </w:pPr>
      <w:r w:rsidRPr="000302BE">
        <w:rPr>
          <w:sz w:val="24"/>
          <w:szCs w:val="24"/>
        </w:rPr>
        <w:t>The total number of people living with non-communicable diseases in South Africa currently is unknown. According to the WHO, (2014)</w:t>
      </w:r>
      <w:r w:rsidR="001E50AB" w:rsidRPr="000302BE">
        <w:rPr>
          <w:sz w:val="24"/>
          <w:szCs w:val="24"/>
        </w:rPr>
        <w:t xml:space="preserve">, </w:t>
      </w:r>
      <w:r w:rsidR="001E50AB" w:rsidRPr="000302BE">
        <w:rPr>
          <w:sz w:val="24"/>
          <w:szCs w:val="24"/>
        </w:rPr>
        <w:t>non-communicable diseases</w:t>
      </w:r>
      <w:r w:rsidRPr="000302BE">
        <w:rPr>
          <w:sz w:val="24"/>
          <w:szCs w:val="24"/>
        </w:rPr>
        <w:t xml:space="preserve"> are accountable for 43%</w:t>
      </w:r>
      <w:r w:rsidR="001E50AB" w:rsidRPr="000302BE">
        <w:rPr>
          <w:sz w:val="24"/>
          <w:szCs w:val="24"/>
        </w:rPr>
        <w:t xml:space="preserve"> of all deaths in South Africa. In 2011 they were accountable for 23% of years of life lost and 33% of disability life years,</w:t>
      </w:r>
      <w:r w:rsidR="00DD08ED">
        <w:rPr>
          <w:sz w:val="24"/>
          <w:szCs w:val="24"/>
        </w:rPr>
        <w:t xml:space="preserve"> </w:t>
      </w:r>
      <w:r w:rsidR="00DD08ED">
        <w:rPr>
          <w:sz w:val="24"/>
          <w:szCs w:val="24"/>
        </w:rPr>
        <w:fldChar w:fldCharType="begin" w:fldLock="1"/>
      </w:r>
      <w:r w:rsidR="00DD08ED">
        <w:rPr>
          <w:sz w:val="24"/>
          <w:szCs w:val="24"/>
        </w:rPr>
        <w:instrText>ADDIN CSL_CITATION {"citationItems":[{"id":"ITEM-1","itemData":{"DOI":"10.1186/1475-9276-10-48","ISSN":"1475-9276","abstract":"Inequalities in health have received considerable attention from health scientists and economists. In South Africa, inequalities exist in socio-economic status (SES) and in access to basic social services and are exacerbated by inequalities in health. While health systems, together with the wider social determinants of health, are relevant in seeking to improve health status and health inequalities, those that need good quality health care too seldom get it. Studies on the burden of ill-health in South Africa have shown consistently that, relative to the wealthy, the poor suffer more from more disease and violence. However, these studies are based on selected disease conditions and only consider a single point in time. Trend analyses have yet to be produced. This paper specifically investigates socio-economic related health inequality in South Africa and seeks to understand how the burden of self-reported illness and disability is distributed and whether this has changed since the early 2000s.","author":[{"dropping-particle":"","family":"Ataguba","given":"John E","non-dropping-particle":"","parse-names":false,"suffix":""},{"dropping-particle":"","family":"Akazili","given":"James","non-dropping-particle":"","parse-names":false,"suffix":""},{"dropping-particle":"","family":"McIntyre","given":"Di","non-dropping-particle":"","parse-names":false,"suffix":""}],"container-title":"International Journal for Equity in Health","id":"ITEM-1","issue":"1","issued":{"date-parts":[["2011","11"]]},"page":"48","title":"Socioeconomic-related health inequality in South Africa: evidence from General Household Surveys","type":"article-journal","volume":"10"},"uris":["http://www.mendeley.com/documents/?uuid=69f9b86d-f15c-461e-968a-f7e8dc0b2b81"]}],"mendeley":{"formattedCitation":"(Ataguba, Akazili, &amp; McIntyre, 2011)","plainTextFormattedCitation":"(Ataguba, Akazili, &amp; McIntyre, 2011)","previouslyFormattedCitation":"(Ataguba, Akazili, &amp; McIntyre, 2011)"},"properties":{"noteIndex":0},"schema":"https://github.com/citation-style-language/schema/raw/master/csl-citation.json"}</w:instrText>
      </w:r>
      <w:r w:rsidR="00DD08ED">
        <w:rPr>
          <w:sz w:val="24"/>
          <w:szCs w:val="24"/>
        </w:rPr>
        <w:fldChar w:fldCharType="separate"/>
      </w:r>
      <w:r w:rsidR="00DD08ED" w:rsidRPr="00DD08ED">
        <w:rPr>
          <w:noProof/>
          <w:sz w:val="24"/>
          <w:szCs w:val="24"/>
        </w:rPr>
        <w:t>(Ataguba, Akazili, &amp; McIntyre, 2011)</w:t>
      </w:r>
      <w:r w:rsidR="00DD08ED">
        <w:rPr>
          <w:sz w:val="24"/>
          <w:szCs w:val="24"/>
        </w:rPr>
        <w:fldChar w:fldCharType="end"/>
      </w:r>
      <w:r w:rsidR="001E50AB" w:rsidRPr="000302BE">
        <w:rPr>
          <w:sz w:val="24"/>
          <w:szCs w:val="24"/>
        </w:rPr>
        <w:t xml:space="preserve">. </w:t>
      </w:r>
      <w:r w:rsidR="000E63BD" w:rsidRPr="000302BE">
        <w:rPr>
          <w:sz w:val="24"/>
          <w:szCs w:val="24"/>
        </w:rPr>
        <w:t>Non-communicable</w:t>
      </w:r>
      <w:r w:rsidR="001E50AB" w:rsidRPr="000302BE">
        <w:rPr>
          <w:sz w:val="24"/>
          <w:szCs w:val="24"/>
        </w:rPr>
        <w:t xml:space="preserve"> diseases</w:t>
      </w:r>
      <w:r w:rsidR="001E50AB" w:rsidRPr="000302BE">
        <w:rPr>
          <w:sz w:val="24"/>
          <w:szCs w:val="24"/>
        </w:rPr>
        <w:t xml:space="preserve"> were underlying or accountable for 60% of the top ten causes of death in </w:t>
      </w:r>
      <w:r w:rsidR="000E63BD" w:rsidRPr="000302BE">
        <w:rPr>
          <w:sz w:val="24"/>
          <w:szCs w:val="24"/>
        </w:rPr>
        <w:t>South</w:t>
      </w:r>
      <w:r w:rsidR="001E50AB" w:rsidRPr="000302BE">
        <w:rPr>
          <w:sz w:val="24"/>
          <w:szCs w:val="24"/>
        </w:rPr>
        <w:t xml:space="preserve"> Africa for the year 2015, (STATS </w:t>
      </w:r>
      <w:r w:rsidR="000E63BD" w:rsidRPr="000302BE">
        <w:rPr>
          <w:sz w:val="24"/>
          <w:szCs w:val="24"/>
        </w:rPr>
        <w:t>SA,</w:t>
      </w:r>
      <w:r w:rsidR="001E50AB" w:rsidRPr="000302BE">
        <w:rPr>
          <w:sz w:val="24"/>
          <w:szCs w:val="24"/>
        </w:rPr>
        <w:t xml:space="preserve"> 2017)</w:t>
      </w:r>
      <w:r w:rsidR="000E63BD" w:rsidRPr="000302BE">
        <w:rPr>
          <w:sz w:val="24"/>
          <w:szCs w:val="24"/>
        </w:rPr>
        <w:t xml:space="preserve">. Government total expenditure is also unknown but is estimated at more than one billion </w:t>
      </w:r>
      <w:proofErr w:type="spellStart"/>
      <w:r w:rsidR="00835EA5" w:rsidRPr="000302BE">
        <w:rPr>
          <w:sz w:val="24"/>
          <w:szCs w:val="24"/>
        </w:rPr>
        <w:t>rands</w:t>
      </w:r>
      <w:proofErr w:type="spellEnd"/>
      <w:r w:rsidR="00835EA5" w:rsidRPr="000302BE">
        <w:rPr>
          <w:sz w:val="24"/>
          <w:szCs w:val="24"/>
        </w:rPr>
        <w:t xml:space="preserve"> per</w:t>
      </w:r>
      <w:r w:rsidR="000E63BD" w:rsidRPr="000302BE">
        <w:rPr>
          <w:sz w:val="24"/>
          <w:szCs w:val="24"/>
        </w:rPr>
        <w:t xml:space="preserve"> annum</w:t>
      </w:r>
      <w:r w:rsidR="000302BE">
        <w:rPr>
          <w:sz w:val="24"/>
          <w:szCs w:val="24"/>
        </w:rPr>
        <w:t xml:space="preserve"> for low to middle income countries</w:t>
      </w:r>
      <w:r w:rsidR="000E63BD" w:rsidRPr="000302BE">
        <w:rPr>
          <w:sz w:val="24"/>
          <w:szCs w:val="24"/>
        </w:rPr>
        <w:t xml:space="preserve"> such as South Africa, (WHO, 2011),</w:t>
      </w:r>
      <w:r w:rsidR="00DD08ED">
        <w:rPr>
          <w:sz w:val="24"/>
          <w:szCs w:val="24"/>
        </w:rPr>
        <w:t xml:space="preserve"> </w:t>
      </w:r>
      <w:r w:rsidR="00DD08ED">
        <w:rPr>
          <w:sz w:val="24"/>
          <w:szCs w:val="24"/>
        </w:rPr>
        <w:fldChar w:fldCharType="begin" w:fldLock="1"/>
      </w:r>
      <w:r w:rsidR="00DD08ED">
        <w:rPr>
          <w:sz w:val="24"/>
          <w:szCs w:val="24"/>
        </w:rPr>
        <w:instrText>ADDIN CSL_CITATION {"citationItems":[{"id":"ITEM-1","itemData":{"DOI":"10.1371/journal.pone.0020821","ISBN":"1932-6203 (Electronic)\\r1932-6203 (Linking)","ISSN":"19326203","PMID":"21695127","abstract":"OBJECTIVE To estimate individual and household economic impact of cardiovascular disease (CVD) in selected low- and middle-income countries (LMIC). BACKGROUND Empirical evidence on the microeconomic consequences of CVD in LMIC is scarce. METHODS AND FINDINGS We surveyed 1,657 recently hospitalized CVD patients (66% male; mean age 55.8 years) from Argentina, China, India, and Tanzania to evaluate the microeconomic and functional/productivity impact of CVD hospitalization. Respondents were stratified into three income groups. Median out-of-pocket expenditures for CVD treatment over 15 month follow-up ranged from 354 international dollars (2007 INT$, Tanzania, low-income) to INT$2,917 (India, high-income). Catastrophic health spending (CHS) was present in &gt;50% of respondents in China, India, and Tanzania. Distress financing (DF) and lost income were more common in low-income respondents. After adjustment, lack of health insurance was associated with CHS in Argentina (OR 4.73 [2.56, 8.76], India (OR 3.93 [2.23, 6.90], and Tanzania (OR 3.68 [1.86, 7.26] with a marginal association in China (OR 2.05 [0.82, 5.11]). These economic effects were accompanied by substantial decreases in individual functional health and productivity. CONCLUSIONS Individuals in selected LMIC bear significant financial burdens following CVD hospitalization, yet with substantial variation across and within countries. Lack of insurance may drive much of the financial stress of CVD in LMIC patients and their families.","author":[{"dropping-particle":"","family":"Huffman","given":"Mark D.","non-dropping-particle":"","parse-names":false,"suffix":""},{"dropping-particle":"","family":"Rao","given":"Krishna D.","non-dropping-particle":"","parse-names":false,"suffix":""},{"dropping-particle":"","family":"Pichon-Riviere","given":"Andres","non-dropping-particle":"","parse-names":false,"suffix":""},{"dropping-particle":"","family":"Zhao","given":"Dong","non-dropping-particle":"","parse-names":false,"suffix":""},{"dropping-particle":"","family":"Harikrishnan","given":"S.","non-dropping-particle":"","parse-names":false,"suffix":""},{"dropping-particle":"","family":"Ramaiya","given":"Kaushik","non-dropping-particle":"","parse-names":false,"suffix":""},{"dropping-particle":"","family":"Ajay","given":"V. S.","non-dropping-particle":"","parse-names":false,"suffix":""},{"dropping-particle":"","family":"Goenka","given":"Shifalika","non-dropping-particle":"","parse-names":false,"suffix":""},{"dropping-particle":"","family":"Calcagno","given":"Juan I.","non-dropping-particle":"","parse-names":false,"suffix":""},{"dropping-particle":"","family":"Caporale","given":"Joaquín E.","non-dropping-particle":"","parse-names":false,"suffix":""},{"dropping-particle":"","family":"Niu","given":"Shaoli","non-dropping-particle":"","parse-names":false,"suffix":""},{"dropping-particle":"","family":"Li","given":"Yan","non-dropping-particle":"","parse-names":false,"suffix":""},{"dropping-particle":"","family":"Liu","given":"Jing","non-dropping-particle":"","parse-names":false,"suffix":""},{"dropping-particle":"","family":"Thankappan","given":"K. R.","non-dropping-particle":"","parse-names":false,"suffix":""},{"dropping-particle":"","family":"Daivadanam","given":"Meena","non-dropping-particle":"","parse-names":false,"suffix":""},{"dropping-particle":"","family":"Esch","given":"Jan","non-dropping-particle":"van","parse-names":false,"suffix":""},{"dropping-particle":"","family":"Murphy","given":"Adrianna","non-dropping-particle":"","parse-names":false,"suffix":""},{"dropping-particle":"","family":"Moran","given":"Andrew E.","non-dropping-particle":"","parse-names":false,"suffix":""},{"dropping-particle":"","family":"Gaziano","given":"Thomas A.","non-dropping-particle":"","parse-names":false,"suffix":""},{"dropping-particle":"","family":"Suhrcke","given":"Marc","non-dropping-particle":"","parse-names":false,"suffix":""},{"dropping-particle":"","family":"Reddy","given":"K. Srinath","non-dropping-particle":"","parse-names":false,"suffix":""},{"dropping-particle":"","family":"Leeder","given":"Stephen","non-dropping-particle":"","parse-names":false,"suffix":""},{"dropping-particle":"","family":"Prabhakaran","given":"Dorairaj","non-dropping-particle":"","parse-names":false,"suffix":""}],"container-title":"PLoS ONE","id":"ITEM-1","issued":{"date-parts":[["2011"]]},"title":"A cross-sectional study of the microeconomic impact of cardiovascular disease hospitalization in four low- and middle-income countries","type":"article-journal"},"uris":["http://www.mendeley.com/documents/?uuid=7863350f-b944-39b1-b271-d1ce7e56759f"]}],"mendeley":{"formattedCitation":"(Huffman et al., 2011)","plainTextFormattedCitation":"(Huffman et al., 2011)","previouslyFormattedCitation":"(Huffman et al., 2011)"},"properties":{"noteIndex":0},"schema":"https://github.com/citation-style-language/schema/raw/master/csl-citation.json"}</w:instrText>
      </w:r>
      <w:r w:rsidR="00DD08ED">
        <w:rPr>
          <w:sz w:val="24"/>
          <w:szCs w:val="24"/>
        </w:rPr>
        <w:fldChar w:fldCharType="separate"/>
      </w:r>
      <w:r w:rsidR="00DD08ED" w:rsidRPr="00DD08ED">
        <w:rPr>
          <w:noProof/>
          <w:sz w:val="24"/>
          <w:szCs w:val="24"/>
        </w:rPr>
        <w:t>(Huffman et al., 2011)</w:t>
      </w:r>
      <w:r w:rsidR="00DD08ED">
        <w:rPr>
          <w:sz w:val="24"/>
          <w:szCs w:val="24"/>
        </w:rPr>
        <w:fldChar w:fldCharType="end"/>
      </w:r>
      <w:r w:rsidR="000E63BD" w:rsidRPr="003C0DD8">
        <w:rPr>
          <w:sz w:val="24"/>
          <w:szCs w:val="24"/>
        </w:rPr>
        <w:t xml:space="preserve">. </w:t>
      </w:r>
      <w:r w:rsidR="00835EA5" w:rsidRPr="003C0DD8">
        <w:rPr>
          <w:sz w:val="24"/>
          <w:szCs w:val="24"/>
        </w:rPr>
        <w:t xml:space="preserve"> </w:t>
      </w:r>
      <w:r w:rsidR="003C0DD8" w:rsidRPr="003C0DD8">
        <w:rPr>
          <w:sz w:val="24"/>
          <w:szCs w:val="24"/>
        </w:rPr>
        <w:t xml:space="preserve">UHC and </w:t>
      </w:r>
      <w:proofErr w:type="spellStart"/>
      <w:r w:rsidR="003C0DD8" w:rsidRPr="003C0DD8">
        <w:rPr>
          <w:sz w:val="24"/>
          <w:szCs w:val="24"/>
        </w:rPr>
        <w:t>Upscale</w:t>
      </w:r>
      <w:r w:rsidR="003C0DD8">
        <w:rPr>
          <w:sz w:val="24"/>
          <w:szCs w:val="24"/>
        </w:rPr>
        <w:t>d</w:t>
      </w:r>
      <w:proofErr w:type="spellEnd"/>
      <w:r w:rsidR="00835EA5" w:rsidRPr="003C0DD8">
        <w:rPr>
          <w:sz w:val="24"/>
          <w:szCs w:val="24"/>
        </w:rPr>
        <w:t xml:space="preserve"> prioritisation</w:t>
      </w:r>
      <w:r w:rsidR="003C0DD8" w:rsidRPr="003C0DD8">
        <w:rPr>
          <w:sz w:val="24"/>
          <w:szCs w:val="24"/>
        </w:rPr>
        <w:t xml:space="preserve"> at PHC level</w:t>
      </w:r>
      <w:r w:rsidR="00835EA5" w:rsidRPr="003C0DD8">
        <w:rPr>
          <w:sz w:val="24"/>
          <w:szCs w:val="24"/>
        </w:rPr>
        <w:t xml:space="preserve"> is needed as NCD’s accounted for half the global burden of disease but only received 2% of international donations compared to HIV that accounted for 4% of the global burden of disease receiving 29% of international donation grants</w:t>
      </w:r>
      <w:r w:rsidR="003C0DD8">
        <w:rPr>
          <w:sz w:val="24"/>
          <w:szCs w:val="24"/>
        </w:rPr>
        <w:t>,</w:t>
      </w:r>
      <w:r w:rsidR="00DD08ED">
        <w:rPr>
          <w:sz w:val="24"/>
          <w:szCs w:val="24"/>
        </w:rPr>
        <w:t xml:space="preserve"> </w:t>
      </w:r>
      <w:r w:rsidR="00DD08ED">
        <w:rPr>
          <w:sz w:val="24"/>
          <w:szCs w:val="24"/>
        </w:rPr>
        <w:fldChar w:fldCharType="begin" w:fldLock="1"/>
      </w:r>
      <w:r w:rsidR="00DD08ED">
        <w:rPr>
          <w:sz w:val="24"/>
          <w:szCs w:val="24"/>
        </w:rPr>
        <w:instrText>ADDIN CSL_CITATION {"citationItems":[{"id":"ITEM-1","itemData":{"DOI":"10.1080/16549716.2017.1326687","ISSN":"1654-9716","abstract":"ABSTRACTNon-communicable diseases (NCDs) (also known as socially transmitted diseases) were conspicuously absent from the Millennium Development Goals and seemed to miss out on the ?golden years? of health funding despite causing more death and disability than any other disease group worldwide. The share of ?development assistance for health? dedicated to NCDs has remained at 1?2% of the total since 2000. This level of funding is insufficient to attain the nine targets in the World Health Organization (WHO) Global Action Plan on NCDs. In 2015 the Sustainable Development Goals ? which include the target of reducing premature NCD mortality by a third ? were endorsed by 193 countries. Whilst this commitment is welcome, the same text stresses the primacy of domestic financing, which is currently dominated by out-of-pocket payments in low- and middle-income countries (LMICs). This paper presents the findings of the WHO Global Coordination Mechanism on NCDs financing working group. The group was convened to explore NCD financing options with an emphasis on LMICs. The main sources of available finance include taxation, loans, engagement with the private sector, impact investment and innovative financing mechanisms. There is a role for development assistance to increase in the interim as raising additional revenue from these sources will take time. In the medium term it may be appropriate for international NCD funding to remain low where LMICs successfully assume financial responsibility for preventing and controlling NCDs. Countries will have to manage blends of innovative and traditional funding sources, whilst finding ways to boost tax revenue for NCDs.","author":[{"dropping-particle":"","family":"Allen","given":"Luke Nelson","non-dropping-particle":"","parse-names":false,"suffix":""}],"container-title":"Global Health Action","id":"ITEM-1","issue":"1","issued":{"date-parts":[["2017","1","1"]]},"note":"doi: 10.1080/16549716.2017.1326687","page":"1326687","publisher":"Taylor &amp; Francis","title":"Financing national non-communicable disease responses","type":"article-journal","volume":"10"},"uris":["http://www.mendeley.com/documents/?uuid=02b6f6d5-7009-4054-908c-a0b80d205315"]}],"mendeley":{"formattedCitation":"(Allen, 2017)","plainTextFormattedCitation":"(Allen, 2017)","previouslyFormattedCitation":"(Allen, 2017)"},"properties":{"noteIndex":0},"schema":"https://github.com/citation-style-language/schema/raw/master/csl-citation.json"}</w:instrText>
      </w:r>
      <w:r w:rsidR="00DD08ED">
        <w:rPr>
          <w:sz w:val="24"/>
          <w:szCs w:val="24"/>
        </w:rPr>
        <w:fldChar w:fldCharType="separate"/>
      </w:r>
      <w:r w:rsidR="00DD08ED" w:rsidRPr="00DD08ED">
        <w:rPr>
          <w:noProof/>
          <w:sz w:val="24"/>
          <w:szCs w:val="24"/>
        </w:rPr>
        <w:t>(Allen, 2017)</w:t>
      </w:r>
      <w:r w:rsidR="00DD08ED">
        <w:rPr>
          <w:sz w:val="24"/>
          <w:szCs w:val="24"/>
        </w:rPr>
        <w:fldChar w:fldCharType="end"/>
      </w:r>
      <w:r w:rsidR="000302BE" w:rsidRPr="003C0DD8">
        <w:rPr>
          <w:sz w:val="24"/>
          <w:szCs w:val="24"/>
        </w:rPr>
        <w:t>.</w:t>
      </w:r>
    </w:p>
    <w:p w:rsidR="004319CE" w:rsidRPr="000302BE" w:rsidRDefault="004319CE" w:rsidP="000302BE">
      <w:pPr>
        <w:spacing w:line="360" w:lineRule="auto"/>
        <w:jc w:val="both"/>
        <w:rPr>
          <w:sz w:val="24"/>
          <w:szCs w:val="24"/>
        </w:rPr>
      </w:pPr>
      <w:r w:rsidRPr="000302BE">
        <w:rPr>
          <w:sz w:val="24"/>
          <w:szCs w:val="24"/>
        </w:rPr>
        <w:t xml:space="preserve">NCD’s negatively impact the labour market by decreasing labour productivity, increasing employee turnover and early retraction from the labour market. This future decreases individual income and household income especially for the urban poor who carry the heaviest </w:t>
      </w:r>
      <w:r w:rsidRPr="000302BE">
        <w:rPr>
          <w:sz w:val="24"/>
          <w:szCs w:val="24"/>
        </w:rPr>
        <w:t xml:space="preserve">non-communicable </w:t>
      </w:r>
      <w:r w:rsidRPr="000302BE">
        <w:rPr>
          <w:sz w:val="24"/>
          <w:szCs w:val="24"/>
        </w:rPr>
        <w:t>disease burden in South Africa</w:t>
      </w:r>
      <w:r w:rsidR="003422B0" w:rsidRPr="000302BE">
        <w:rPr>
          <w:sz w:val="24"/>
          <w:szCs w:val="24"/>
        </w:rPr>
        <w:t xml:space="preserve">. This further contributes to the medical poverty trap and worsens income inequality in South Africa. </w:t>
      </w:r>
    </w:p>
    <w:p w:rsidR="003422B0" w:rsidRPr="000302BE" w:rsidRDefault="003422B0" w:rsidP="000302BE">
      <w:pPr>
        <w:spacing w:line="360" w:lineRule="auto"/>
        <w:jc w:val="both"/>
        <w:rPr>
          <w:sz w:val="24"/>
          <w:szCs w:val="24"/>
        </w:rPr>
      </w:pPr>
      <w:r w:rsidRPr="000302BE">
        <w:rPr>
          <w:sz w:val="24"/>
          <w:szCs w:val="24"/>
        </w:rPr>
        <w:t>Using panel data fro</w:t>
      </w:r>
      <w:r w:rsidR="00457B1A" w:rsidRPr="000302BE">
        <w:rPr>
          <w:sz w:val="24"/>
          <w:szCs w:val="24"/>
        </w:rPr>
        <w:t>m the national income dynamics s</w:t>
      </w:r>
      <w:r w:rsidRPr="000302BE">
        <w:rPr>
          <w:sz w:val="24"/>
          <w:szCs w:val="24"/>
        </w:rPr>
        <w:t xml:space="preserve">tudy in </w:t>
      </w:r>
      <w:r w:rsidR="00457B1A" w:rsidRPr="000302BE">
        <w:rPr>
          <w:sz w:val="24"/>
          <w:szCs w:val="24"/>
        </w:rPr>
        <w:t>South</w:t>
      </w:r>
      <w:r w:rsidRPr="000302BE">
        <w:rPr>
          <w:sz w:val="24"/>
          <w:szCs w:val="24"/>
        </w:rPr>
        <w:t xml:space="preserve"> </w:t>
      </w:r>
      <w:r w:rsidR="00457B1A" w:rsidRPr="000302BE">
        <w:rPr>
          <w:sz w:val="24"/>
          <w:szCs w:val="24"/>
        </w:rPr>
        <w:t>Africa</w:t>
      </w:r>
      <w:r w:rsidR="006056F9">
        <w:rPr>
          <w:sz w:val="24"/>
          <w:szCs w:val="24"/>
        </w:rPr>
        <w:t>, this paper</w:t>
      </w:r>
      <w:r w:rsidRPr="000302BE">
        <w:rPr>
          <w:sz w:val="24"/>
          <w:szCs w:val="24"/>
        </w:rPr>
        <w:t xml:space="preserve"> investigates the association between </w:t>
      </w:r>
      <w:r w:rsidRPr="000302BE">
        <w:rPr>
          <w:sz w:val="24"/>
          <w:szCs w:val="24"/>
        </w:rPr>
        <w:t>non-communicable diseases</w:t>
      </w:r>
      <w:r w:rsidRPr="000302BE">
        <w:rPr>
          <w:sz w:val="24"/>
          <w:szCs w:val="24"/>
        </w:rPr>
        <w:t xml:space="preserve"> and labour mar</w:t>
      </w:r>
      <w:r w:rsidR="00E56794" w:rsidRPr="000302BE">
        <w:rPr>
          <w:sz w:val="24"/>
          <w:szCs w:val="24"/>
        </w:rPr>
        <w:t xml:space="preserve">ket participation and the effect it has on household income. We examine these associations using statistical regression models for NCD exposed households and non NCD exposed </w:t>
      </w:r>
      <w:r w:rsidR="00457B1A" w:rsidRPr="000302BE">
        <w:rPr>
          <w:sz w:val="24"/>
          <w:szCs w:val="24"/>
        </w:rPr>
        <w:t>households,</w:t>
      </w:r>
      <w:r w:rsidR="00E56794" w:rsidRPr="000302BE">
        <w:rPr>
          <w:sz w:val="24"/>
          <w:szCs w:val="24"/>
        </w:rPr>
        <w:t xml:space="preserve"> comparing the two for differences. </w:t>
      </w:r>
    </w:p>
    <w:p w:rsidR="00DE0F38" w:rsidRDefault="00E56794" w:rsidP="0023340D">
      <w:pPr>
        <w:spacing w:line="360" w:lineRule="auto"/>
        <w:jc w:val="both"/>
        <w:rPr>
          <w:sz w:val="24"/>
          <w:szCs w:val="24"/>
        </w:rPr>
      </w:pPr>
      <w:r w:rsidRPr="000302BE">
        <w:rPr>
          <w:sz w:val="24"/>
          <w:szCs w:val="24"/>
        </w:rPr>
        <w:t xml:space="preserve">We hypothesis that NCD’s decrease household income </w:t>
      </w:r>
      <w:r w:rsidR="00457B1A" w:rsidRPr="000302BE">
        <w:rPr>
          <w:sz w:val="24"/>
          <w:szCs w:val="24"/>
        </w:rPr>
        <w:t>and labour force</w:t>
      </w:r>
      <w:r w:rsidR="0004556F">
        <w:rPr>
          <w:sz w:val="24"/>
          <w:szCs w:val="24"/>
        </w:rPr>
        <w:t xml:space="preserve"> participation through decreasing</w:t>
      </w:r>
      <w:r w:rsidR="00457B1A" w:rsidRPr="000302BE">
        <w:rPr>
          <w:sz w:val="24"/>
          <w:szCs w:val="24"/>
        </w:rPr>
        <w:t xml:space="preserve"> individual an</w:t>
      </w:r>
      <w:r w:rsidR="0004556F">
        <w:rPr>
          <w:sz w:val="24"/>
          <w:szCs w:val="24"/>
        </w:rPr>
        <w:t>d household productivity and by</w:t>
      </w:r>
      <w:r w:rsidR="00457B1A" w:rsidRPr="000302BE">
        <w:rPr>
          <w:sz w:val="24"/>
          <w:szCs w:val="24"/>
        </w:rPr>
        <w:t xml:space="preserve"> increasing dependency</w:t>
      </w:r>
      <w:r w:rsidR="00B64BE5">
        <w:rPr>
          <w:sz w:val="24"/>
          <w:szCs w:val="24"/>
        </w:rPr>
        <w:t xml:space="preserve"> both for the </w:t>
      </w:r>
      <w:r w:rsidR="00A51213">
        <w:rPr>
          <w:sz w:val="24"/>
          <w:szCs w:val="24"/>
        </w:rPr>
        <w:t>individual</w:t>
      </w:r>
      <w:r w:rsidR="00B64BE5">
        <w:rPr>
          <w:sz w:val="24"/>
          <w:szCs w:val="24"/>
        </w:rPr>
        <w:t xml:space="preserve"> and the household</w:t>
      </w:r>
      <w:r w:rsidR="00457B1A" w:rsidRPr="000302BE">
        <w:rPr>
          <w:sz w:val="24"/>
          <w:szCs w:val="24"/>
        </w:rPr>
        <w:t>. Therefore as recommended by the WHO</w:t>
      </w:r>
      <w:r w:rsidR="000302BE" w:rsidRPr="000302BE">
        <w:rPr>
          <w:sz w:val="24"/>
          <w:szCs w:val="24"/>
        </w:rPr>
        <w:t>; individual</w:t>
      </w:r>
      <w:r w:rsidR="00457B1A" w:rsidRPr="000302BE">
        <w:rPr>
          <w:sz w:val="24"/>
          <w:szCs w:val="24"/>
        </w:rPr>
        <w:t xml:space="preserve"> specific interventions will be mo</w:t>
      </w:r>
      <w:r w:rsidR="00D84FDA">
        <w:rPr>
          <w:sz w:val="24"/>
          <w:szCs w:val="24"/>
        </w:rPr>
        <w:t>re effective than population based</w:t>
      </w:r>
      <w:r w:rsidR="00457B1A" w:rsidRPr="000302BE">
        <w:rPr>
          <w:sz w:val="24"/>
          <w:szCs w:val="24"/>
        </w:rPr>
        <w:t xml:space="preserve"> interventions </w:t>
      </w:r>
      <w:r w:rsidR="000302BE" w:rsidRPr="000302BE">
        <w:rPr>
          <w:sz w:val="24"/>
          <w:szCs w:val="24"/>
        </w:rPr>
        <w:t xml:space="preserve">to alleviate the ripple effects of the </w:t>
      </w:r>
      <w:r w:rsidR="000302BE" w:rsidRPr="000302BE">
        <w:rPr>
          <w:sz w:val="24"/>
          <w:szCs w:val="24"/>
        </w:rPr>
        <w:t>non-communicable</w:t>
      </w:r>
      <w:r w:rsidR="000302BE" w:rsidRPr="000302BE">
        <w:rPr>
          <w:sz w:val="24"/>
          <w:szCs w:val="24"/>
        </w:rPr>
        <w:t xml:space="preserve"> disease burden on the South African economy</w:t>
      </w:r>
      <w:r w:rsidR="00B64BE5">
        <w:rPr>
          <w:sz w:val="24"/>
          <w:szCs w:val="24"/>
        </w:rPr>
        <w:t xml:space="preserve"> </w:t>
      </w:r>
      <w:r w:rsidR="00B64BE5">
        <w:rPr>
          <w:sz w:val="24"/>
          <w:szCs w:val="24"/>
        </w:rPr>
        <w:fldChar w:fldCharType="begin" w:fldLock="1"/>
      </w:r>
      <w:r w:rsidR="00B64BE5">
        <w:rPr>
          <w:sz w:val="24"/>
          <w:szCs w:val="24"/>
        </w:rPr>
        <w:instrText>ADDIN CSL_CITATION {"citationItems":[{"id":"ITEM-1","itemData":{"ISBN":"9780621415100","author":[{"dropping-particle":"","family":"National Department of Health","given":"","non-dropping-particle":"","parse-names":false,"suffix":""}],"container-title":"Department of Health","id":"ITEM-1","issued":{"date-parts":[["2013"]]},"number-of-pages":"1 - 80","title":"Strategic Plan for the Prevention and Control of Non-Communicable Diseases 2013-2017","type":"book"},"uris":["http://www.mendeley.com/documents/?uuid=c69997ed-1f40-4813-95d2-ff12f2218e52"]}],"mendeley":{"formattedCitation":"(National Department of Health, 2013)","plainTextFormattedCitation":"(National Department of Health, 2013)"},"properties":{"noteIndex":0},"schema":"https://github.com/citation-style-language/schema/raw/master/csl-citation.json"}</w:instrText>
      </w:r>
      <w:r w:rsidR="00B64BE5">
        <w:rPr>
          <w:sz w:val="24"/>
          <w:szCs w:val="24"/>
        </w:rPr>
        <w:fldChar w:fldCharType="separate"/>
      </w:r>
      <w:r w:rsidR="00B64BE5" w:rsidRPr="00B64BE5">
        <w:rPr>
          <w:noProof/>
          <w:sz w:val="24"/>
          <w:szCs w:val="24"/>
        </w:rPr>
        <w:t>(National Department of Health, 2013)</w:t>
      </w:r>
      <w:r w:rsidR="00B64BE5">
        <w:rPr>
          <w:sz w:val="24"/>
          <w:szCs w:val="24"/>
        </w:rPr>
        <w:fldChar w:fldCharType="end"/>
      </w:r>
      <w:r w:rsidR="000302BE" w:rsidRPr="000302BE">
        <w:rPr>
          <w:sz w:val="24"/>
          <w:szCs w:val="24"/>
        </w:rPr>
        <w:t xml:space="preserve">. </w:t>
      </w:r>
    </w:p>
    <w:p w:rsidR="003C0DD8" w:rsidRDefault="003C0DD8" w:rsidP="0023340D">
      <w:pPr>
        <w:spacing w:line="360" w:lineRule="auto"/>
        <w:jc w:val="both"/>
        <w:rPr>
          <w:sz w:val="24"/>
          <w:szCs w:val="24"/>
        </w:rPr>
      </w:pPr>
      <w:r>
        <w:rPr>
          <w:sz w:val="24"/>
          <w:szCs w:val="24"/>
        </w:rPr>
        <w:lastRenderedPageBreak/>
        <w:t>References;</w:t>
      </w:r>
    </w:p>
    <w:p w:rsidR="00B64BE5" w:rsidRPr="00B64BE5" w:rsidRDefault="00DD08ED" w:rsidP="00B64BE5">
      <w:pPr>
        <w:widowControl w:val="0"/>
        <w:autoSpaceDE w:val="0"/>
        <w:autoSpaceDN w:val="0"/>
        <w:adjustRightInd w:val="0"/>
        <w:spacing w:line="360" w:lineRule="auto"/>
        <w:ind w:left="480" w:hanging="480"/>
        <w:rPr>
          <w:rFonts w:ascii="Calibri" w:hAnsi="Calibri" w:cs="Times New Roman"/>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B64BE5" w:rsidRPr="00B64BE5">
        <w:rPr>
          <w:rFonts w:ascii="Calibri" w:hAnsi="Calibri" w:cs="Times New Roman"/>
          <w:noProof/>
          <w:sz w:val="24"/>
          <w:szCs w:val="24"/>
        </w:rPr>
        <w:t xml:space="preserve">Allen, L. N. (2017). Financing national non-communicable disease responses. </w:t>
      </w:r>
      <w:r w:rsidR="00B64BE5" w:rsidRPr="00B64BE5">
        <w:rPr>
          <w:rFonts w:ascii="Calibri" w:hAnsi="Calibri" w:cs="Times New Roman"/>
          <w:i/>
          <w:iCs/>
          <w:noProof/>
          <w:sz w:val="24"/>
          <w:szCs w:val="24"/>
        </w:rPr>
        <w:t>Global Health Action</w:t>
      </w:r>
      <w:r w:rsidR="00B64BE5" w:rsidRPr="00B64BE5">
        <w:rPr>
          <w:rFonts w:ascii="Calibri" w:hAnsi="Calibri" w:cs="Times New Roman"/>
          <w:noProof/>
          <w:sz w:val="24"/>
          <w:szCs w:val="24"/>
        </w:rPr>
        <w:t xml:space="preserve">, </w:t>
      </w:r>
      <w:r w:rsidR="00B64BE5" w:rsidRPr="00B64BE5">
        <w:rPr>
          <w:rFonts w:ascii="Calibri" w:hAnsi="Calibri" w:cs="Times New Roman"/>
          <w:i/>
          <w:iCs/>
          <w:noProof/>
          <w:sz w:val="24"/>
          <w:szCs w:val="24"/>
        </w:rPr>
        <w:t>10</w:t>
      </w:r>
      <w:r w:rsidR="00B64BE5" w:rsidRPr="00B64BE5">
        <w:rPr>
          <w:rFonts w:ascii="Calibri" w:hAnsi="Calibri" w:cs="Times New Roman"/>
          <w:noProof/>
          <w:sz w:val="24"/>
          <w:szCs w:val="24"/>
        </w:rPr>
        <w:t>(1), 1326687. https://doi.org/10.1080/16549716.2017.1326687</w:t>
      </w:r>
    </w:p>
    <w:p w:rsidR="00B64BE5" w:rsidRPr="00B64BE5" w:rsidRDefault="00B64BE5" w:rsidP="00B64BE5">
      <w:pPr>
        <w:widowControl w:val="0"/>
        <w:autoSpaceDE w:val="0"/>
        <w:autoSpaceDN w:val="0"/>
        <w:adjustRightInd w:val="0"/>
        <w:spacing w:line="360" w:lineRule="auto"/>
        <w:ind w:left="480" w:hanging="480"/>
        <w:rPr>
          <w:rFonts w:ascii="Calibri" w:hAnsi="Calibri" w:cs="Times New Roman"/>
          <w:noProof/>
          <w:sz w:val="24"/>
          <w:szCs w:val="24"/>
        </w:rPr>
      </w:pPr>
      <w:r w:rsidRPr="00B64BE5">
        <w:rPr>
          <w:rFonts w:ascii="Calibri" w:hAnsi="Calibri" w:cs="Times New Roman"/>
          <w:noProof/>
          <w:sz w:val="24"/>
          <w:szCs w:val="24"/>
        </w:rPr>
        <w:t xml:space="preserve">Ataguba, J. E., Akazili, J., &amp; McIntyre, D. (2011). Socioeconomic-related health inequality in South Africa: evidence from General Household Surveys. </w:t>
      </w:r>
      <w:r w:rsidRPr="00B64BE5">
        <w:rPr>
          <w:rFonts w:ascii="Calibri" w:hAnsi="Calibri" w:cs="Times New Roman"/>
          <w:i/>
          <w:iCs/>
          <w:noProof/>
          <w:sz w:val="24"/>
          <w:szCs w:val="24"/>
        </w:rPr>
        <w:t>International Journal for Equity in Health</w:t>
      </w:r>
      <w:r w:rsidRPr="00B64BE5">
        <w:rPr>
          <w:rFonts w:ascii="Calibri" w:hAnsi="Calibri" w:cs="Times New Roman"/>
          <w:noProof/>
          <w:sz w:val="24"/>
          <w:szCs w:val="24"/>
        </w:rPr>
        <w:t xml:space="preserve">, </w:t>
      </w:r>
      <w:r w:rsidRPr="00B64BE5">
        <w:rPr>
          <w:rFonts w:ascii="Calibri" w:hAnsi="Calibri" w:cs="Times New Roman"/>
          <w:i/>
          <w:iCs/>
          <w:noProof/>
          <w:sz w:val="24"/>
          <w:szCs w:val="24"/>
        </w:rPr>
        <w:t>10</w:t>
      </w:r>
      <w:r w:rsidRPr="00B64BE5">
        <w:rPr>
          <w:rFonts w:ascii="Calibri" w:hAnsi="Calibri" w:cs="Times New Roman"/>
          <w:noProof/>
          <w:sz w:val="24"/>
          <w:szCs w:val="24"/>
        </w:rPr>
        <w:t>(1), 48. https://doi.org/10.1186/1475-9276-10-48</w:t>
      </w:r>
    </w:p>
    <w:p w:rsidR="00B64BE5" w:rsidRPr="00B64BE5" w:rsidRDefault="00B64BE5" w:rsidP="00B64BE5">
      <w:pPr>
        <w:widowControl w:val="0"/>
        <w:autoSpaceDE w:val="0"/>
        <w:autoSpaceDN w:val="0"/>
        <w:adjustRightInd w:val="0"/>
        <w:spacing w:line="360" w:lineRule="auto"/>
        <w:ind w:left="480" w:hanging="480"/>
        <w:rPr>
          <w:rFonts w:ascii="Calibri" w:hAnsi="Calibri" w:cs="Times New Roman"/>
          <w:noProof/>
          <w:sz w:val="24"/>
          <w:szCs w:val="24"/>
        </w:rPr>
      </w:pPr>
      <w:r w:rsidRPr="00B64BE5">
        <w:rPr>
          <w:rFonts w:ascii="Calibri" w:hAnsi="Calibri" w:cs="Times New Roman"/>
          <w:noProof/>
          <w:sz w:val="24"/>
          <w:szCs w:val="24"/>
        </w:rPr>
        <w:t xml:space="preserve">Huffman, M. D., Rao, K. D., Pichon-Riviere, A., Zhao, D., Harikrishnan, S., Ramaiya, K., … Prabhakaran, D. (2011). A cross-sectional study of the microeconomic impact of cardiovascular disease hospitalization in four low- and middle-income countries. </w:t>
      </w:r>
      <w:r w:rsidRPr="00B64BE5">
        <w:rPr>
          <w:rFonts w:ascii="Calibri" w:hAnsi="Calibri" w:cs="Times New Roman"/>
          <w:i/>
          <w:iCs/>
          <w:noProof/>
          <w:sz w:val="24"/>
          <w:szCs w:val="24"/>
        </w:rPr>
        <w:t>PLoS ONE</w:t>
      </w:r>
      <w:r w:rsidRPr="00B64BE5">
        <w:rPr>
          <w:rFonts w:ascii="Calibri" w:hAnsi="Calibri" w:cs="Times New Roman"/>
          <w:noProof/>
          <w:sz w:val="24"/>
          <w:szCs w:val="24"/>
        </w:rPr>
        <w:t>. https://doi.org/10.1371/journal.pone.0020821</w:t>
      </w:r>
    </w:p>
    <w:p w:rsidR="00B64BE5" w:rsidRPr="00B64BE5" w:rsidRDefault="00B64BE5" w:rsidP="00B64BE5">
      <w:pPr>
        <w:widowControl w:val="0"/>
        <w:autoSpaceDE w:val="0"/>
        <w:autoSpaceDN w:val="0"/>
        <w:adjustRightInd w:val="0"/>
        <w:spacing w:line="360" w:lineRule="auto"/>
        <w:ind w:left="480" w:hanging="480"/>
        <w:rPr>
          <w:rFonts w:ascii="Calibri" w:hAnsi="Calibri"/>
          <w:noProof/>
          <w:sz w:val="24"/>
        </w:rPr>
      </w:pPr>
      <w:r w:rsidRPr="00B64BE5">
        <w:rPr>
          <w:rFonts w:ascii="Calibri" w:hAnsi="Calibri" w:cs="Times New Roman"/>
          <w:noProof/>
          <w:sz w:val="24"/>
          <w:szCs w:val="24"/>
        </w:rPr>
        <w:t xml:space="preserve">National Department of Health. (2013). </w:t>
      </w:r>
      <w:r w:rsidRPr="00B64BE5">
        <w:rPr>
          <w:rFonts w:ascii="Calibri" w:hAnsi="Calibri" w:cs="Times New Roman"/>
          <w:i/>
          <w:iCs/>
          <w:noProof/>
          <w:sz w:val="24"/>
          <w:szCs w:val="24"/>
        </w:rPr>
        <w:t>Strategic Plan for the Prevention and Control of Non-Communicable Diseases 2013-2017</w:t>
      </w:r>
      <w:r w:rsidRPr="00B64BE5">
        <w:rPr>
          <w:rFonts w:ascii="Calibri" w:hAnsi="Calibri" w:cs="Times New Roman"/>
          <w:noProof/>
          <w:sz w:val="24"/>
          <w:szCs w:val="24"/>
        </w:rPr>
        <w:t xml:space="preserve">. </w:t>
      </w:r>
      <w:r w:rsidRPr="00B64BE5">
        <w:rPr>
          <w:rFonts w:ascii="Calibri" w:hAnsi="Calibri" w:cs="Times New Roman"/>
          <w:i/>
          <w:iCs/>
          <w:noProof/>
          <w:sz w:val="24"/>
          <w:szCs w:val="24"/>
        </w:rPr>
        <w:t>Department of Health</w:t>
      </w:r>
      <w:r w:rsidRPr="00B64BE5">
        <w:rPr>
          <w:rFonts w:ascii="Calibri" w:hAnsi="Calibri" w:cs="Times New Roman"/>
          <w:noProof/>
          <w:sz w:val="24"/>
          <w:szCs w:val="24"/>
        </w:rPr>
        <w:t>. Retrieved from http://www.hsrc.ac.za/uploads/pageContent/3893/NCDs STRAT PLAN  CONTENT 8 april proof.pdf</w:t>
      </w:r>
    </w:p>
    <w:p w:rsidR="009101FF" w:rsidRPr="00DD08ED" w:rsidRDefault="00DD08ED" w:rsidP="00DD08ED">
      <w:pPr>
        <w:spacing w:line="360" w:lineRule="auto"/>
        <w:jc w:val="both"/>
        <w:rPr>
          <w:sz w:val="24"/>
          <w:szCs w:val="24"/>
        </w:rPr>
      </w:pPr>
      <w:r>
        <w:rPr>
          <w:sz w:val="24"/>
          <w:szCs w:val="24"/>
        </w:rPr>
        <w:fldChar w:fldCharType="end"/>
      </w:r>
    </w:p>
    <w:p w:rsidR="00B64BE5" w:rsidRPr="00B64BE5" w:rsidRDefault="00B64BE5" w:rsidP="00B64BE5">
      <w:pPr>
        <w:widowControl w:val="0"/>
        <w:autoSpaceDE w:val="0"/>
        <w:autoSpaceDN w:val="0"/>
        <w:adjustRightInd w:val="0"/>
        <w:spacing w:line="360" w:lineRule="auto"/>
        <w:rPr>
          <w:rFonts w:cs="Times New Roman"/>
          <w:noProof/>
          <w:sz w:val="24"/>
          <w:szCs w:val="24"/>
        </w:rPr>
      </w:pPr>
    </w:p>
    <w:p w:rsidR="00B150EA" w:rsidRDefault="00B150EA" w:rsidP="00B150EA">
      <w:pPr>
        <w:widowControl w:val="0"/>
        <w:autoSpaceDE w:val="0"/>
        <w:autoSpaceDN w:val="0"/>
        <w:adjustRightInd w:val="0"/>
        <w:spacing w:line="360" w:lineRule="auto"/>
        <w:ind w:left="480" w:hanging="480"/>
        <w:rPr>
          <w:rFonts w:cs="Times New Roman"/>
          <w:noProof/>
          <w:sz w:val="24"/>
          <w:szCs w:val="24"/>
        </w:rPr>
      </w:pPr>
    </w:p>
    <w:p w:rsidR="00B150EA" w:rsidRPr="00B150EA" w:rsidRDefault="00B150EA" w:rsidP="00B150EA">
      <w:pPr>
        <w:widowControl w:val="0"/>
        <w:autoSpaceDE w:val="0"/>
        <w:autoSpaceDN w:val="0"/>
        <w:adjustRightInd w:val="0"/>
        <w:spacing w:line="360" w:lineRule="auto"/>
        <w:ind w:left="480" w:hanging="480"/>
        <w:rPr>
          <w:rFonts w:cs="Times New Roman"/>
          <w:noProof/>
          <w:sz w:val="24"/>
          <w:szCs w:val="24"/>
        </w:rPr>
      </w:pPr>
    </w:p>
    <w:p w:rsidR="00B150EA" w:rsidRPr="001E31CB" w:rsidRDefault="00B150EA" w:rsidP="00B150EA">
      <w:pPr>
        <w:widowControl w:val="0"/>
        <w:autoSpaceDE w:val="0"/>
        <w:autoSpaceDN w:val="0"/>
        <w:adjustRightInd w:val="0"/>
        <w:spacing w:line="360" w:lineRule="auto"/>
        <w:ind w:left="480" w:hanging="480"/>
        <w:rPr>
          <w:rFonts w:cs="Times New Roman"/>
          <w:noProof/>
          <w:sz w:val="24"/>
          <w:szCs w:val="24"/>
        </w:rPr>
      </w:pPr>
    </w:p>
    <w:p w:rsidR="00B150EA" w:rsidRDefault="00B150EA" w:rsidP="0023340D">
      <w:pPr>
        <w:spacing w:line="360" w:lineRule="auto"/>
        <w:jc w:val="both"/>
        <w:rPr>
          <w:sz w:val="24"/>
          <w:szCs w:val="24"/>
        </w:rPr>
      </w:pPr>
    </w:p>
    <w:p w:rsidR="00B150EA" w:rsidRPr="0023340D" w:rsidRDefault="00B150EA" w:rsidP="0023340D">
      <w:pPr>
        <w:spacing w:line="360" w:lineRule="auto"/>
        <w:jc w:val="both"/>
        <w:rPr>
          <w:sz w:val="24"/>
          <w:szCs w:val="24"/>
        </w:rPr>
      </w:pPr>
    </w:p>
    <w:sectPr w:rsidR="00B150EA" w:rsidRPr="00233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C8"/>
    <w:rsid w:val="000302BE"/>
    <w:rsid w:val="0004556F"/>
    <w:rsid w:val="000E63BD"/>
    <w:rsid w:val="001E50AB"/>
    <w:rsid w:val="0023340D"/>
    <w:rsid w:val="003422B0"/>
    <w:rsid w:val="003C0DD8"/>
    <w:rsid w:val="004319CE"/>
    <w:rsid w:val="00457B1A"/>
    <w:rsid w:val="006056F9"/>
    <w:rsid w:val="00805E70"/>
    <w:rsid w:val="00835EA5"/>
    <w:rsid w:val="008648C8"/>
    <w:rsid w:val="009101FF"/>
    <w:rsid w:val="009D0DE8"/>
    <w:rsid w:val="00A51213"/>
    <w:rsid w:val="00B150EA"/>
    <w:rsid w:val="00B64BE5"/>
    <w:rsid w:val="00C91564"/>
    <w:rsid w:val="00D84FDA"/>
    <w:rsid w:val="00DD08ED"/>
    <w:rsid w:val="00DE0F38"/>
    <w:rsid w:val="00E15A9F"/>
    <w:rsid w:val="00E567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933FF-0ACB-40B2-AAFC-DB3D9CF2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C8"/>
  </w:style>
  <w:style w:type="paragraph" w:styleId="Heading1">
    <w:name w:val="heading 1"/>
    <w:basedOn w:val="Normal"/>
    <w:next w:val="Normal"/>
    <w:link w:val="Heading1Char"/>
    <w:uiPriority w:val="9"/>
    <w:qFormat/>
    <w:rsid w:val="008648C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648C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48C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48C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648C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648C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648C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648C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648C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8C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648C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48C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48C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648C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648C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648C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648C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648C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648C8"/>
    <w:pPr>
      <w:spacing w:line="240" w:lineRule="auto"/>
    </w:pPr>
    <w:rPr>
      <w:b/>
      <w:bCs/>
      <w:smallCaps/>
      <w:color w:val="44546A" w:themeColor="text2"/>
    </w:rPr>
  </w:style>
  <w:style w:type="paragraph" w:styleId="Title">
    <w:name w:val="Title"/>
    <w:basedOn w:val="Normal"/>
    <w:next w:val="Normal"/>
    <w:link w:val="TitleChar"/>
    <w:uiPriority w:val="10"/>
    <w:qFormat/>
    <w:rsid w:val="008648C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648C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648C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648C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648C8"/>
    <w:rPr>
      <w:b/>
      <w:bCs/>
    </w:rPr>
  </w:style>
  <w:style w:type="character" w:styleId="Emphasis">
    <w:name w:val="Emphasis"/>
    <w:basedOn w:val="DefaultParagraphFont"/>
    <w:uiPriority w:val="20"/>
    <w:qFormat/>
    <w:rsid w:val="008648C8"/>
    <w:rPr>
      <w:i/>
      <w:iCs/>
    </w:rPr>
  </w:style>
  <w:style w:type="paragraph" w:styleId="NoSpacing">
    <w:name w:val="No Spacing"/>
    <w:uiPriority w:val="1"/>
    <w:qFormat/>
    <w:rsid w:val="008648C8"/>
    <w:pPr>
      <w:spacing w:after="0" w:line="240" w:lineRule="auto"/>
    </w:pPr>
  </w:style>
  <w:style w:type="paragraph" w:styleId="Quote">
    <w:name w:val="Quote"/>
    <w:basedOn w:val="Normal"/>
    <w:next w:val="Normal"/>
    <w:link w:val="QuoteChar"/>
    <w:uiPriority w:val="29"/>
    <w:qFormat/>
    <w:rsid w:val="008648C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48C8"/>
    <w:rPr>
      <w:color w:val="44546A" w:themeColor="text2"/>
      <w:sz w:val="24"/>
      <w:szCs w:val="24"/>
    </w:rPr>
  </w:style>
  <w:style w:type="paragraph" w:styleId="IntenseQuote">
    <w:name w:val="Intense Quote"/>
    <w:basedOn w:val="Normal"/>
    <w:next w:val="Normal"/>
    <w:link w:val="IntenseQuoteChar"/>
    <w:uiPriority w:val="30"/>
    <w:qFormat/>
    <w:rsid w:val="008648C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48C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648C8"/>
    <w:rPr>
      <w:i/>
      <w:iCs/>
      <w:color w:val="595959" w:themeColor="text1" w:themeTint="A6"/>
    </w:rPr>
  </w:style>
  <w:style w:type="character" w:styleId="IntenseEmphasis">
    <w:name w:val="Intense Emphasis"/>
    <w:basedOn w:val="DefaultParagraphFont"/>
    <w:uiPriority w:val="21"/>
    <w:qFormat/>
    <w:rsid w:val="008648C8"/>
    <w:rPr>
      <w:b/>
      <w:bCs/>
      <w:i/>
      <w:iCs/>
    </w:rPr>
  </w:style>
  <w:style w:type="character" w:styleId="SubtleReference">
    <w:name w:val="Subtle Reference"/>
    <w:basedOn w:val="DefaultParagraphFont"/>
    <w:uiPriority w:val="31"/>
    <w:qFormat/>
    <w:rsid w:val="008648C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48C8"/>
    <w:rPr>
      <w:b/>
      <w:bCs/>
      <w:smallCaps/>
      <w:color w:val="44546A" w:themeColor="text2"/>
      <w:u w:val="single"/>
    </w:rPr>
  </w:style>
  <w:style w:type="character" w:styleId="BookTitle">
    <w:name w:val="Book Title"/>
    <w:basedOn w:val="DefaultParagraphFont"/>
    <w:uiPriority w:val="33"/>
    <w:qFormat/>
    <w:rsid w:val="008648C8"/>
    <w:rPr>
      <w:b/>
      <w:bCs/>
      <w:smallCaps/>
      <w:spacing w:val="10"/>
    </w:rPr>
  </w:style>
  <w:style w:type="paragraph" w:styleId="TOCHeading">
    <w:name w:val="TOC Heading"/>
    <w:basedOn w:val="Heading1"/>
    <w:next w:val="Normal"/>
    <w:uiPriority w:val="39"/>
    <w:semiHidden/>
    <w:unhideWhenUsed/>
    <w:qFormat/>
    <w:rsid w:val="008648C8"/>
    <w:pPr>
      <w:outlineLvl w:val="9"/>
    </w:pPr>
  </w:style>
  <w:style w:type="character" w:styleId="Hyperlink">
    <w:name w:val="Hyperlink"/>
    <w:basedOn w:val="DefaultParagraphFont"/>
    <w:uiPriority w:val="99"/>
    <w:unhideWhenUsed/>
    <w:rsid w:val="006056F9"/>
    <w:rPr>
      <w:color w:val="0563C1" w:themeColor="hyperlink"/>
      <w:u w:val="single"/>
    </w:rPr>
  </w:style>
  <w:style w:type="paragraph" w:styleId="NormalWeb">
    <w:name w:val="Normal (Web)"/>
    <w:basedOn w:val="Normal"/>
    <w:uiPriority w:val="99"/>
    <w:unhideWhenUsed/>
    <w:rsid w:val="00C9156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917">
      <w:bodyDiv w:val="1"/>
      <w:marLeft w:val="0"/>
      <w:marRight w:val="0"/>
      <w:marTop w:val="0"/>
      <w:marBottom w:val="0"/>
      <w:divBdr>
        <w:top w:val="none" w:sz="0" w:space="0" w:color="auto"/>
        <w:left w:val="none" w:sz="0" w:space="0" w:color="auto"/>
        <w:bottom w:val="none" w:sz="0" w:space="0" w:color="auto"/>
        <w:right w:val="none" w:sz="0" w:space="0" w:color="auto"/>
      </w:divBdr>
      <w:divsChild>
        <w:div w:id="1074813615">
          <w:marLeft w:val="0"/>
          <w:marRight w:val="0"/>
          <w:marTop w:val="0"/>
          <w:marBottom w:val="0"/>
          <w:divBdr>
            <w:top w:val="none" w:sz="0" w:space="0" w:color="auto"/>
            <w:left w:val="none" w:sz="0" w:space="0" w:color="auto"/>
            <w:bottom w:val="none" w:sz="0" w:space="0" w:color="auto"/>
            <w:right w:val="none" w:sz="0" w:space="0" w:color="auto"/>
          </w:divBdr>
          <w:divsChild>
            <w:div w:id="682439395">
              <w:marLeft w:val="0"/>
              <w:marRight w:val="0"/>
              <w:marTop w:val="0"/>
              <w:marBottom w:val="0"/>
              <w:divBdr>
                <w:top w:val="none" w:sz="0" w:space="0" w:color="auto"/>
                <w:left w:val="none" w:sz="0" w:space="0" w:color="auto"/>
                <w:bottom w:val="none" w:sz="0" w:space="0" w:color="auto"/>
                <w:right w:val="none" w:sz="0" w:space="0" w:color="auto"/>
              </w:divBdr>
              <w:divsChild>
                <w:div w:id="627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489">
      <w:bodyDiv w:val="1"/>
      <w:marLeft w:val="0"/>
      <w:marRight w:val="0"/>
      <w:marTop w:val="0"/>
      <w:marBottom w:val="0"/>
      <w:divBdr>
        <w:top w:val="none" w:sz="0" w:space="0" w:color="auto"/>
        <w:left w:val="none" w:sz="0" w:space="0" w:color="auto"/>
        <w:bottom w:val="none" w:sz="0" w:space="0" w:color="auto"/>
        <w:right w:val="none" w:sz="0" w:space="0" w:color="auto"/>
      </w:divBdr>
    </w:div>
    <w:div w:id="84153133">
      <w:bodyDiv w:val="1"/>
      <w:marLeft w:val="0"/>
      <w:marRight w:val="0"/>
      <w:marTop w:val="0"/>
      <w:marBottom w:val="0"/>
      <w:divBdr>
        <w:top w:val="none" w:sz="0" w:space="0" w:color="auto"/>
        <w:left w:val="none" w:sz="0" w:space="0" w:color="auto"/>
        <w:bottom w:val="none" w:sz="0" w:space="0" w:color="auto"/>
        <w:right w:val="none" w:sz="0" w:space="0" w:color="auto"/>
      </w:divBdr>
    </w:div>
    <w:div w:id="282662351">
      <w:bodyDiv w:val="1"/>
      <w:marLeft w:val="0"/>
      <w:marRight w:val="0"/>
      <w:marTop w:val="0"/>
      <w:marBottom w:val="0"/>
      <w:divBdr>
        <w:top w:val="none" w:sz="0" w:space="0" w:color="auto"/>
        <w:left w:val="none" w:sz="0" w:space="0" w:color="auto"/>
        <w:bottom w:val="none" w:sz="0" w:space="0" w:color="auto"/>
        <w:right w:val="none" w:sz="0" w:space="0" w:color="auto"/>
      </w:divBdr>
    </w:div>
    <w:div w:id="378021615">
      <w:bodyDiv w:val="1"/>
      <w:marLeft w:val="0"/>
      <w:marRight w:val="0"/>
      <w:marTop w:val="0"/>
      <w:marBottom w:val="0"/>
      <w:divBdr>
        <w:top w:val="none" w:sz="0" w:space="0" w:color="auto"/>
        <w:left w:val="none" w:sz="0" w:space="0" w:color="auto"/>
        <w:bottom w:val="none" w:sz="0" w:space="0" w:color="auto"/>
        <w:right w:val="none" w:sz="0" w:space="0" w:color="auto"/>
      </w:divBdr>
    </w:div>
    <w:div w:id="886645942">
      <w:bodyDiv w:val="1"/>
      <w:marLeft w:val="0"/>
      <w:marRight w:val="0"/>
      <w:marTop w:val="0"/>
      <w:marBottom w:val="0"/>
      <w:divBdr>
        <w:top w:val="none" w:sz="0" w:space="0" w:color="auto"/>
        <w:left w:val="none" w:sz="0" w:space="0" w:color="auto"/>
        <w:bottom w:val="none" w:sz="0" w:space="0" w:color="auto"/>
        <w:right w:val="none" w:sz="0" w:space="0" w:color="auto"/>
      </w:divBdr>
      <w:divsChild>
        <w:div w:id="1163622053">
          <w:marLeft w:val="0"/>
          <w:marRight w:val="0"/>
          <w:marTop w:val="0"/>
          <w:marBottom w:val="0"/>
          <w:divBdr>
            <w:top w:val="none" w:sz="0" w:space="0" w:color="auto"/>
            <w:left w:val="none" w:sz="0" w:space="0" w:color="auto"/>
            <w:bottom w:val="none" w:sz="0" w:space="0" w:color="auto"/>
            <w:right w:val="none" w:sz="0" w:space="0" w:color="auto"/>
          </w:divBdr>
          <w:divsChild>
            <w:div w:id="1970358352">
              <w:marLeft w:val="0"/>
              <w:marRight w:val="0"/>
              <w:marTop w:val="0"/>
              <w:marBottom w:val="0"/>
              <w:divBdr>
                <w:top w:val="none" w:sz="0" w:space="0" w:color="auto"/>
                <w:left w:val="none" w:sz="0" w:space="0" w:color="auto"/>
                <w:bottom w:val="none" w:sz="0" w:space="0" w:color="auto"/>
                <w:right w:val="none" w:sz="0" w:space="0" w:color="auto"/>
              </w:divBdr>
              <w:divsChild>
                <w:div w:id="3642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1537">
      <w:bodyDiv w:val="1"/>
      <w:marLeft w:val="0"/>
      <w:marRight w:val="0"/>
      <w:marTop w:val="0"/>
      <w:marBottom w:val="0"/>
      <w:divBdr>
        <w:top w:val="none" w:sz="0" w:space="0" w:color="auto"/>
        <w:left w:val="none" w:sz="0" w:space="0" w:color="auto"/>
        <w:bottom w:val="none" w:sz="0" w:space="0" w:color="auto"/>
        <w:right w:val="none" w:sz="0" w:space="0" w:color="auto"/>
      </w:divBdr>
    </w:div>
    <w:div w:id="12255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ufunke.alaba@uct.ac.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FLODW001@myuct.ac.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BA03-6B6C-4C19-BF26-779BDF1A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2018-08-01T00:49:00Z</dcterms:created>
  <dcterms:modified xsi:type="dcterms:W3CDTF">2018-08-01T00:49:00Z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b99eea8c-4bca-3288-bb4b-2eb761ccdc2d</vt:lpwstr>
  </property>
  <property fmtid="{D5CDD505-2E9C-101B-9397-08002B2CF9AE}" pid="24" name="Mendeley Citation Style_1">
    <vt:lpwstr>http://www.zotero.org/styles/apa</vt:lpwstr>
  </property>
</Properties>
</file>