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35"/>
      </w:tblGrid>
      <w:tr w:rsidR="00083C50" w:rsidRPr="00784A0B" w:rsidTr="0009742C">
        <w:trPr>
          <w:trHeight w:val="202"/>
        </w:trPr>
        <w:tc>
          <w:tcPr>
            <w:tcW w:w="8835" w:type="dxa"/>
          </w:tcPr>
          <w:p w:rsidR="00083C50" w:rsidRPr="00422933" w:rsidRDefault="002D52AB" w:rsidP="0009742C">
            <w:pPr>
              <w:jc w:val="center"/>
              <w:rPr>
                <w:rFonts w:asciiTheme="majorBidi" w:hAnsiTheme="majorBidi" w:cstheme="majorBidi"/>
                <w:b/>
                <w:bCs/>
                <w:szCs w:val="24"/>
                <w:shd w:val="clear" w:color="auto" w:fill="FFFFFF"/>
                <w:lang w:val="en-US"/>
              </w:rPr>
            </w:pPr>
            <w:r w:rsidRPr="002D52AB">
              <w:rPr>
                <w:rFonts w:asciiTheme="majorBidi" w:hAnsiTheme="majorBidi" w:cstheme="majorBidi"/>
                <w:b/>
                <w:bCs/>
                <w:sz w:val="24"/>
                <w:szCs w:val="24"/>
                <w:lang w:val="en-US"/>
              </w:rPr>
              <w:t xml:space="preserve">Does differences between determinants of healthcare spending still exist between rural and urban area in the MENA region: which implication in the </w:t>
            </w:r>
            <w:proofErr w:type="spellStart"/>
            <w:r w:rsidRPr="002D52AB">
              <w:rPr>
                <w:rFonts w:asciiTheme="majorBidi" w:hAnsiTheme="majorBidi" w:cstheme="majorBidi"/>
                <w:b/>
                <w:bCs/>
                <w:sz w:val="24"/>
                <w:szCs w:val="24"/>
                <w:lang w:val="en-US"/>
              </w:rPr>
              <w:t>tunisian</w:t>
            </w:r>
            <w:proofErr w:type="spellEnd"/>
            <w:r w:rsidRPr="002D52AB">
              <w:rPr>
                <w:rFonts w:asciiTheme="majorBidi" w:hAnsiTheme="majorBidi" w:cstheme="majorBidi"/>
                <w:b/>
                <w:bCs/>
                <w:sz w:val="24"/>
                <w:szCs w:val="24"/>
                <w:lang w:val="en-US"/>
              </w:rPr>
              <w:t xml:space="preserve"> case</w:t>
            </w:r>
          </w:p>
        </w:tc>
      </w:tr>
      <w:tr w:rsidR="00083C50" w:rsidRPr="00784A0B" w:rsidTr="0009742C">
        <w:trPr>
          <w:trHeight w:val="300"/>
        </w:trPr>
        <w:tc>
          <w:tcPr>
            <w:tcW w:w="8835" w:type="dxa"/>
          </w:tcPr>
          <w:p w:rsidR="00083C50" w:rsidRPr="00422933" w:rsidRDefault="00083C50" w:rsidP="00083C50">
            <w:pPr>
              <w:rPr>
                <w:rFonts w:asciiTheme="majorBidi" w:hAnsiTheme="majorBidi" w:cstheme="majorBidi"/>
                <w:sz w:val="24"/>
                <w:szCs w:val="24"/>
                <w:shd w:val="clear" w:color="auto" w:fill="FFFFFF"/>
                <w:lang w:val="en-US"/>
              </w:rPr>
            </w:pPr>
            <w:r w:rsidRPr="00422933">
              <w:rPr>
                <w:rFonts w:asciiTheme="majorBidi" w:hAnsiTheme="majorBidi" w:cstheme="majorBidi"/>
                <w:b/>
                <w:bCs/>
                <w:sz w:val="24"/>
                <w:szCs w:val="24"/>
                <w:shd w:val="clear" w:color="auto" w:fill="FFFFFF"/>
                <w:lang w:val="en-US"/>
              </w:rPr>
              <w:t xml:space="preserve">Abstract: </w:t>
            </w:r>
            <w:r w:rsidRPr="00422933">
              <w:rPr>
                <w:rFonts w:asciiTheme="majorBidi" w:hAnsiTheme="majorBidi" w:cstheme="majorBidi"/>
                <w:sz w:val="24"/>
                <w:szCs w:val="24"/>
                <w:shd w:val="clear" w:color="auto" w:fill="FFFFFF"/>
                <w:lang w:val="en-US"/>
              </w:rPr>
              <w:t xml:space="preserve">Many developing countries have undertaken a number of health sector reforms in order to improve availability and accessibility to health care services for all the population. In this context, Tunisia is considered as a particular case while accounting for the rapid demographic and epidemiologic transition. However, in order to assess the likely success of such reforms, more needs to be known about the current determinants of household out-of-pocket spending on health across the rural and the urban area. </w:t>
            </w:r>
          </w:p>
          <w:p w:rsidR="00083C50" w:rsidRPr="00422933" w:rsidRDefault="00083C50" w:rsidP="0009742C">
            <w:pPr>
              <w:rPr>
                <w:rFonts w:asciiTheme="majorBidi" w:hAnsiTheme="majorBidi" w:cstheme="majorBidi"/>
                <w:b/>
                <w:bCs/>
                <w:sz w:val="24"/>
                <w:szCs w:val="24"/>
                <w:lang w:val="en-US"/>
              </w:rPr>
            </w:pPr>
            <w:r w:rsidRPr="00422933">
              <w:rPr>
                <w:rFonts w:asciiTheme="majorBidi" w:hAnsiTheme="majorBidi" w:cstheme="majorBidi"/>
                <w:sz w:val="24"/>
                <w:szCs w:val="24"/>
                <w:lang w:val="en-US"/>
              </w:rPr>
              <w:t xml:space="preserve">Some researchers concluded that, generally, residents in rural areas have higher out-of-pocket spending on healthcare than those living in urban areas, but, on the other hand, other researchers pointed out that there were no differences in healthcare expenditures considering the geographic repartition. This paper attempts to explain the effect of the socio-economic determinants on the out-pocket health expenditure among rural and urban households in Tunisia with a different groups of variables that hint need and demographic characteristics of rural and urban households in Tunisia. </w:t>
            </w:r>
          </w:p>
          <w:p w:rsidR="00083C50" w:rsidRPr="00422933" w:rsidRDefault="00083C50" w:rsidP="00083C50">
            <w:pPr>
              <w:pStyle w:val="Titre2"/>
              <w:shd w:val="clear" w:color="auto" w:fill="FFFFFF"/>
              <w:spacing w:before="0" w:after="162" w:line="276" w:lineRule="auto"/>
              <w:rPr>
                <w:rFonts w:asciiTheme="majorBidi" w:eastAsiaTheme="minorEastAsia" w:hAnsiTheme="majorBidi" w:cstheme="majorBidi"/>
                <w:b w:val="0"/>
                <w:bCs w:val="0"/>
                <w:sz w:val="24"/>
                <w:szCs w:val="24"/>
                <w:lang w:val="en-US"/>
              </w:rPr>
            </w:pPr>
            <w:r w:rsidRPr="00422933">
              <w:rPr>
                <w:rFonts w:asciiTheme="majorBidi" w:hAnsiTheme="majorBidi" w:cstheme="majorBidi"/>
                <w:sz w:val="24"/>
                <w:szCs w:val="24"/>
                <w:lang w:val="en-US"/>
              </w:rPr>
              <w:t xml:space="preserve">Methods: </w:t>
            </w:r>
            <w:r w:rsidRPr="00422933">
              <w:rPr>
                <w:rFonts w:asciiTheme="majorBidi" w:eastAsiaTheme="minorEastAsia" w:hAnsiTheme="majorBidi" w:cstheme="majorBidi"/>
                <w:b w:val="0"/>
                <w:sz w:val="24"/>
                <w:szCs w:val="24"/>
                <w:lang w:val="en-US"/>
              </w:rPr>
              <w:t xml:space="preserve">Using the National Survey on Household Budget, Consumption and Standard of Living, EBCNV, collected by the National Institute of Statistics (INS) in Tunisia in 2005 and 2010, we employed the </w:t>
            </w:r>
            <w:proofErr w:type="spellStart"/>
            <w:r w:rsidRPr="00422933">
              <w:rPr>
                <w:rFonts w:asciiTheme="majorBidi" w:eastAsiaTheme="minorEastAsia" w:hAnsiTheme="majorBidi" w:cstheme="majorBidi"/>
                <w:b w:val="0"/>
                <w:sz w:val="24"/>
                <w:szCs w:val="24"/>
                <w:lang w:val="en-US"/>
              </w:rPr>
              <w:t>Tobit</w:t>
            </w:r>
            <w:proofErr w:type="spellEnd"/>
            <w:r w:rsidRPr="00422933">
              <w:rPr>
                <w:rFonts w:asciiTheme="majorBidi" w:eastAsiaTheme="minorEastAsia" w:hAnsiTheme="majorBidi" w:cstheme="majorBidi"/>
                <w:b w:val="0"/>
                <w:sz w:val="24"/>
                <w:szCs w:val="24"/>
                <w:lang w:val="en-US"/>
              </w:rPr>
              <w:t xml:space="preserve"> model to </w:t>
            </w:r>
            <w:proofErr w:type="spellStart"/>
            <w:r>
              <w:rPr>
                <w:rFonts w:asciiTheme="majorBidi" w:eastAsiaTheme="minorEastAsia" w:hAnsiTheme="majorBidi" w:cstheme="majorBidi"/>
                <w:b w:val="0"/>
                <w:sz w:val="24"/>
                <w:szCs w:val="24"/>
                <w:lang w:val="en-US"/>
              </w:rPr>
              <w:t>analyse</w:t>
            </w:r>
            <w:proofErr w:type="spellEnd"/>
            <w:r w:rsidRPr="00422933">
              <w:rPr>
                <w:rFonts w:asciiTheme="majorBidi" w:eastAsiaTheme="minorEastAsia" w:hAnsiTheme="majorBidi" w:cstheme="majorBidi"/>
                <w:b w:val="0"/>
                <w:sz w:val="24"/>
                <w:szCs w:val="24"/>
                <w:lang w:val="en-US"/>
              </w:rPr>
              <w:t xml:space="preserve"> determinants on the out-of-pocket health expenditure in the rural and urban area in Tunisia. </w:t>
            </w:r>
          </w:p>
          <w:p w:rsidR="00083C50" w:rsidRPr="00422933" w:rsidRDefault="00083C50" w:rsidP="00083C50">
            <w:pPr>
              <w:autoSpaceDE w:val="0"/>
              <w:autoSpaceDN w:val="0"/>
              <w:adjustRightInd w:val="0"/>
              <w:spacing w:before="240" w:after="240"/>
              <w:rPr>
                <w:rFonts w:asciiTheme="majorBidi" w:hAnsiTheme="majorBidi" w:cstheme="majorBidi"/>
                <w:sz w:val="24"/>
                <w:szCs w:val="24"/>
                <w:lang w:val="en-US"/>
              </w:rPr>
            </w:pPr>
            <w:r w:rsidRPr="00422933">
              <w:rPr>
                <w:rFonts w:asciiTheme="majorBidi" w:hAnsiTheme="majorBidi" w:cstheme="majorBidi"/>
                <w:b/>
                <w:bCs/>
                <w:sz w:val="24"/>
                <w:szCs w:val="24"/>
                <w:lang w:val="en-US"/>
              </w:rPr>
              <w:t xml:space="preserve">Results: </w:t>
            </w:r>
            <w:r w:rsidRPr="00422933">
              <w:rPr>
                <w:rFonts w:asciiTheme="majorBidi" w:hAnsiTheme="majorBidi" w:cstheme="majorBidi"/>
                <w:sz w:val="24"/>
                <w:szCs w:val="24"/>
                <w:lang w:val="en-US"/>
              </w:rPr>
              <w:t xml:space="preserve">Between 2005 and 2010, income </w:t>
            </w:r>
            <w:r w:rsidRPr="00422933">
              <w:rPr>
                <w:rFonts w:asciiTheme="majorBidi" w:hAnsiTheme="majorBidi" w:cstheme="majorBidi"/>
                <w:sz w:val="24"/>
                <w:szCs w:val="24"/>
                <w:lang w:val="en-US"/>
              </w:rPr>
              <w:t>level determines</w:t>
            </w:r>
            <w:r w:rsidRPr="00422933">
              <w:rPr>
                <w:rFonts w:asciiTheme="majorBidi" w:hAnsiTheme="majorBidi" w:cstheme="majorBidi"/>
                <w:sz w:val="24"/>
                <w:szCs w:val="24"/>
                <w:lang w:val="en-US"/>
              </w:rPr>
              <w:t xml:space="preserve"> positively out-of-pocket health expenditure for all social classes irrespective of the urban and rural environment except for the poor class in 2010, which is insignificant. Living conditions and hygiene affect the direct expenditure of health care also but negatively, they contribute to reduce healthcare expenditure. Household with numerous members spends more on healthcare. Aging also encourages more spending on health. Finally, instruction level conditioned out-of-pocket health expenditure in 2005, while </w:t>
            </w:r>
          </w:p>
          <w:p w:rsidR="00083C50" w:rsidRPr="00422933" w:rsidRDefault="00083C50" w:rsidP="0009742C">
            <w:pPr>
              <w:autoSpaceDE w:val="0"/>
              <w:autoSpaceDN w:val="0"/>
              <w:adjustRightInd w:val="0"/>
              <w:spacing w:before="240" w:after="240"/>
              <w:rPr>
                <w:rFonts w:asciiTheme="majorBidi" w:hAnsiTheme="majorBidi" w:cstheme="majorBidi"/>
                <w:sz w:val="24"/>
                <w:szCs w:val="24"/>
                <w:lang w:val="en-US"/>
              </w:rPr>
            </w:pPr>
            <w:r w:rsidRPr="00422933">
              <w:rPr>
                <w:rFonts w:asciiTheme="majorBidi" w:hAnsiTheme="majorBidi" w:cstheme="majorBidi"/>
                <w:sz w:val="24"/>
                <w:szCs w:val="24"/>
                <w:lang w:val="en-US"/>
              </w:rPr>
              <w:t>In 2005, the level of education conditioned the direct expenditure of health care while the Socio-Professional Category became deterministic in 2010. Regarding the need, in 2005, gender, age and marital status are significant while in 2010 only age and marital status</w:t>
            </w:r>
          </w:p>
          <w:p w:rsidR="00083C50" w:rsidRPr="00422933" w:rsidRDefault="00083C50" w:rsidP="0009742C">
            <w:pPr>
              <w:autoSpaceDE w:val="0"/>
              <w:autoSpaceDN w:val="0"/>
              <w:adjustRightInd w:val="0"/>
              <w:spacing w:before="240" w:after="240"/>
              <w:rPr>
                <w:rFonts w:asciiTheme="majorBidi" w:hAnsiTheme="majorBidi" w:cstheme="majorBidi"/>
                <w:sz w:val="24"/>
                <w:szCs w:val="24"/>
                <w:lang w:val="en-US"/>
              </w:rPr>
            </w:pPr>
            <w:r w:rsidRPr="00422933">
              <w:rPr>
                <w:rFonts w:asciiTheme="majorBidi" w:hAnsiTheme="majorBidi" w:cstheme="majorBidi"/>
                <w:b/>
                <w:bCs/>
                <w:sz w:val="24"/>
                <w:szCs w:val="24"/>
                <w:lang w:val="en-US"/>
              </w:rPr>
              <w:t xml:space="preserve">Conclusion: </w:t>
            </w:r>
            <w:r w:rsidRPr="00422933">
              <w:rPr>
                <w:rFonts w:asciiTheme="majorBidi" w:hAnsiTheme="majorBidi" w:cstheme="majorBidi"/>
                <w:sz w:val="24"/>
                <w:szCs w:val="24"/>
                <w:lang w:val="en-US"/>
              </w:rPr>
              <w:t>Despite several reforms</w:t>
            </w:r>
            <w:r w:rsidRPr="00422933">
              <w:rPr>
                <w:rFonts w:asciiTheme="majorBidi" w:hAnsiTheme="majorBidi" w:cstheme="majorBidi"/>
                <w:b/>
                <w:bCs/>
                <w:sz w:val="24"/>
                <w:szCs w:val="24"/>
                <w:lang w:val="en-US"/>
              </w:rPr>
              <w:t xml:space="preserve"> </w:t>
            </w:r>
            <w:r w:rsidRPr="00422933">
              <w:rPr>
                <w:rFonts w:asciiTheme="majorBidi" w:hAnsiTheme="majorBidi" w:cstheme="majorBidi"/>
                <w:sz w:val="24"/>
                <w:szCs w:val="24"/>
                <w:shd w:val="clear" w:color="auto" w:fill="FFFFFF"/>
                <w:lang w:val="en-US"/>
              </w:rPr>
              <w:t xml:space="preserve">undertaken by the Tunisian government in the health sector to improve availability and accessibility to health care services for all the population whatever the area of housing, the out-of-pocket healthcare expenditure of Tunisian household still suffer conditioned socio-economic and need conditions which can contribute to deep inequalities in health expenditure in Tunisia. </w:t>
            </w:r>
          </w:p>
          <w:p w:rsidR="00083C50" w:rsidRPr="00422933" w:rsidRDefault="00083C50" w:rsidP="0009742C">
            <w:pPr>
              <w:spacing w:after="0" w:line="240" w:lineRule="auto"/>
              <w:jc w:val="center"/>
              <w:rPr>
                <w:rFonts w:asciiTheme="majorBidi" w:hAnsiTheme="majorBidi" w:cstheme="majorBidi"/>
                <w:sz w:val="24"/>
                <w:szCs w:val="24"/>
                <w:lang w:val="en-US"/>
              </w:rPr>
            </w:pPr>
          </w:p>
        </w:tc>
      </w:tr>
      <w:tr w:rsidR="00083C50" w:rsidRPr="00784A0B" w:rsidTr="0009742C">
        <w:trPr>
          <w:trHeight w:val="300"/>
        </w:trPr>
        <w:tc>
          <w:tcPr>
            <w:tcW w:w="8835" w:type="dxa"/>
          </w:tcPr>
          <w:p w:rsidR="00083C50" w:rsidRPr="00422933" w:rsidRDefault="00083C50" w:rsidP="0009742C">
            <w:pPr>
              <w:rPr>
                <w:rFonts w:asciiTheme="majorBidi" w:hAnsiTheme="majorBidi" w:cstheme="majorBidi"/>
                <w:b/>
                <w:bCs/>
                <w:sz w:val="24"/>
                <w:szCs w:val="24"/>
                <w:lang w:val="en-US"/>
              </w:rPr>
            </w:pPr>
          </w:p>
        </w:tc>
      </w:tr>
    </w:tbl>
    <w:p w:rsidR="00897221" w:rsidRPr="00083C50" w:rsidRDefault="00897221">
      <w:pPr>
        <w:rPr>
          <w:lang w:val="en-US"/>
        </w:rPr>
      </w:pPr>
    </w:p>
    <w:sectPr w:rsidR="00897221" w:rsidRPr="00083C50" w:rsidSect="0077420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SansM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83C50"/>
    <w:rsid w:val="00004B0B"/>
    <w:rsid w:val="000054A0"/>
    <w:rsid w:val="00007DF4"/>
    <w:rsid w:val="00020B1E"/>
    <w:rsid w:val="000462E7"/>
    <w:rsid w:val="0004796F"/>
    <w:rsid w:val="00055531"/>
    <w:rsid w:val="0005659F"/>
    <w:rsid w:val="000654CA"/>
    <w:rsid w:val="000722D2"/>
    <w:rsid w:val="00074C7A"/>
    <w:rsid w:val="0008064E"/>
    <w:rsid w:val="000815D8"/>
    <w:rsid w:val="00083C50"/>
    <w:rsid w:val="00086FF7"/>
    <w:rsid w:val="000A7F49"/>
    <w:rsid w:val="000B6617"/>
    <w:rsid w:val="000D00D9"/>
    <w:rsid w:val="000D0C53"/>
    <w:rsid w:val="000F23AF"/>
    <w:rsid w:val="00104762"/>
    <w:rsid w:val="00106E0E"/>
    <w:rsid w:val="0011051B"/>
    <w:rsid w:val="00121BA2"/>
    <w:rsid w:val="00122043"/>
    <w:rsid w:val="00133BC6"/>
    <w:rsid w:val="001379C2"/>
    <w:rsid w:val="001474CC"/>
    <w:rsid w:val="00160031"/>
    <w:rsid w:val="00160163"/>
    <w:rsid w:val="00161D62"/>
    <w:rsid w:val="00170115"/>
    <w:rsid w:val="00175D90"/>
    <w:rsid w:val="0017647E"/>
    <w:rsid w:val="00185EC3"/>
    <w:rsid w:val="001A65EE"/>
    <w:rsid w:val="001B5CDC"/>
    <w:rsid w:val="001B626A"/>
    <w:rsid w:val="001D3A2A"/>
    <w:rsid w:val="001D5009"/>
    <w:rsid w:val="001E4FDD"/>
    <w:rsid w:val="001E540B"/>
    <w:rsid w:val="001F1901"/>
    <w:rsid w:val="001F2990"/>
    <w:rsid w:val="00206998"/>
    <w:rsid w:val="00223164"/>
    <w:rsid w:val="00224181"/>
    <w:rsid w:val="002429D5"/>
    <w:rsid w:val="00242D2F"/>
    <w:rsid w:val="00243720"/>
    <w:rsid w:val="00244264"/>
    <w:rsid w:val="00247E97"/>
    <w:rsid w:val="002569E3"/>
    <w:rsid w:val="00257FB3"/>
    <w:rsid w:val="0026206C"/>
    <w:rsid w:val="002638C6"/>
    <w:rsid w:val="002654D0"/>
    <w:rsid w:val="00270434"/>
    <w:rsid w:val="00270F84"/>
    <w:rsid w:val="002959AE"/>
    <w:rsid w:val="002A011F"/>
    <w:rsid w:val="002A2F37"/>
    <w:rsid w:val="002A7CA4"/>
    <w:rsid w:val="002C02AF"/>
    <w:rsid w:val="002C4B94"/>
    <w:rsid w:val="002C766B"/>
    <w:rsid w:val="002D52AB"/>
    <w:rsid w:val="002D5F2E"/>
    <w:rsid w:val="002E3DBF"/>
    <w:rsid w:val="002E6A3A"/>
    <w:rsid w:val="00302766"/>
    <w:rsid w:val="00310745"/>
    <w:rsid w:val="003130B9"/>
    <w:rsid w:val="00313B6F"/>
    <w:rsid w:val="003141DF"/>
    <w:rsid w:val="00321787"/>
    <w:rsid w:val="003348DE"/>
    <w:rsid w:val="0034329F"/>
    <w:rsid w:val="00344438"/>
    <w:rsid w:val="003458B9"/>
    <w:rsid w:val="003562A2"/>
    <w:rsid w:val="00356800"/>
    <w:rsid w:val="0036074E"/>
    <w:rsid w:val="003668D1"/>
    <w:rsid w:val="0037024F"/>
    <w:rsid w:val="00370621"/>
    <w:rsid w:val="00372B5B"/>
    <w:rsid w:val="00377E88"/>
    <w:rsid w:val="003803BC"/>
    <w:rsid w:val="00383EB9"/>
    <w:rsid w:val="003846C2"/>
    <w:rsid w:val="00392789"/>
    <w:rsid w:val="00393CE5"/>
    <w:rsid w:val="003A6FF1"/>
    <w:rsid w:val="003C2150"/>
    <w:rsid w:val="003D74DF"/>
    <w:rsid w:val="003E35A3"/>
    <w:rsid w:val="003F1441"/>
    <w:rsid w:val="004029CA"/>
    <w:rsid w:val="0040548F"/>
    <w:rsid w:val="00410FBB"/>
    <w:rsid w:val="00413830"/>
    <w:rsid w:val="00421701"/>
    <w:rsid w:val="00427F21"/>
    <w:rsid w:val="00452ECD"/>
    <w:rsid w:val="00473344"/>
    <w:rsid w:val="0047391D"/>
    <w:rsid w:val="00475F9A"/>
    <w:rsid w:val="004768B4"/>
    <w:rsid w:val="004A4F62"/>
    <w:rsid w:val="004E7831"/>
    <w:rsid w:val="004F0124"/>
    <w:rsid w:val="004F5309"/>
    <w:rsid w:val="00500638"/>
    <w:rsid w:val="00500778"/>
    <w:rsid w:val="00507050"/>
    <w:rsid w:val="00514ABE"/>
    <w:rsid w:val="00523104"/>
    <w:rsid w:val="00523F60"/>
    <w:rsid w:val="0053748D"/>
    <w:rsid w:val="00537765"/>
    <w:rsid w:val="0054432B"/>
    <w:rsid w:val="005525A8"/>
    <w:rsid w:val="00555F28"/>
    <w:rsid w:val="0056210C"/>
    <w:rsid w:val="0056384B"/>
    <w:rsid w:val="00576673"/>
    <w:rsid w:val="0058385E"/>
    <w:rsid w:val="005A43A0"/>
    <w:rsid w:val="005B440C"/>
    <w:rsid w:val="005B6683"/>
    <w:rsid w:val="005C1B4C"/>
    <w:rsid w:val="005D27D6"/>
    <w:rsid w:val="005E03C8"/>
    <w:rsid w:val="005F4FE7"/>
    <w:rsid w:val="00606D26"/>
    <w:rsid w:val="0061077A"/>
    <w:rsid w:val="0061387E"/>
    <w:rsid w:val="006170F1"/>
    <w:rsid w:val="006244D1"/>
    <w:rsid w:val="00630924"/>
    <w:rsid w:val="00630C6E"/>
    <w:rsid w:val="00633313"/>
    <w:rsid w:val="006523D9"/>
    <w:rsid w:val="0065383B"/>
    <w:rsid w:val="00660683"/>
    <w:rsid w:val="00662259"/>
    <w:rsid w:val="006847BD"/>
    <w:rsid w:val="00693D24"/>
    <w:rsid w:val="006A060A"/>
    <w:rsid w:val="006B24EB"/>
    <w:rsid w:val="006B6B21"/>
    <w:rsid w:val="006C2982"/>
    <w:rsid w:val="006D44BB"/>
    <w:rsid w:val="006E6050"/>
    <w:rsid w:val="006E61AE"/>
    <w:rsid w:val="006F0033"/>
    <w:rsid w:val="006F2C35"/>
    <w:rsid w:val="00704A22"/>
    <w:rsid w:val="00705649"/>
    <w:rsid w:val="007221F6"/>
    <w:rsid w:val="0072560F"/>
    <w:rsid w:val="00731DCA"/>
    <w:rsid w:val="00754A43"/>
    <w:rsid w:val="0075528B"/>
    <w:rsid w:val="0077401C"/>
    <w:rsid w:val="00774207"/>
    <w:rsid w:val="00784124"/>
    <w:rsid w:val="007C0B57"/>
    <w:rsid w:val="007C5550"/>
    <w:rsid w:val="007D7024"/>
    <w:rsid w:val="007E4121"/>
    <w:rsid w:val="007E4EB5"/>
    <w:rsid w:val="007F16E7"/>
    <w:rsid w:val="007F5410"/>
    <w:rsid w:val="00812EBF"/>
    <w:rsid w:val="00822820"/>
    <w:rsid w:val="00823A9C"/>
    <w:rsid w:val="00833069"/>
    <w:rsid w:val="008347A3"/>
    <w:rsid w:val="00850E86"/>
    <w:rsid w:val="00857C7E"/>
    <w:rsid w:val="00865D6D"/>
    <w:rsid w:val="0087042C"/>
    <w:rsid w:val="008939CD"/>
    <w:rsid w:val="00894356"/>
    <w:rsid w:val="008966BA"/>
    <w:rsid w:val="00897221"/>
    <w:rsid w:val="008C68EC"/>
    <w:rsid w:val="008E0801"/>
    <w:rsid w:val="008E4CA5"/>
    <w:rsid w:val="008E6A6E"/>
    <w:rsid w:val="00910763"/>
    <w:rsid w:val="00911827"/>
    <w:rsid w:val="00922710"/>
    <w:rsid w:val="00925960"/>
    <w:rsid w:val="00936029"/>
    <w:rsid w:val="00937E79"/>
    <w:rsid w:val="00941326"/>
    <w:rsid w:val="00952906"/>
    <w:rsid w:val="0095541C"/>
    <w:rsid w:val="00956EE7"/>
    <w:rsid w:val="00960CBD"/>
    <w:rsid w:val="00963ED7"/>
    <w:rsid w:val="0096490D"/>
    <w:rsid w:val="00964FD6"/>
    <w:rsid w:val="009664D5"/>
    <w:rsid w:val="00982340"/>
    <w:rsid w:val="00987AB2"/>
    <w:rsid w:val="009B206D"/>
    <w:rsid w:val="009B5063"/>
    <w:rsid w:val="009B612B"/>
    <w:rsid w:val="009D4308"/>
    <w:rsid w:val="009E2A1E"/>
    <w:rsid w:val="00A1729C"/>
    <w:rsid w:val="00A17434"/>
    <w:rsid w:val="00A24647"/>
    <w:rsid w:val="00A309D4"/>
    <w:rsid w:val="00A34342"/>
    <w:rsid w:val="00A35D9D"/>
    <w:rsid w:val="00A46448"/>
    <w:rsid w:val="00A53F87"/>
    <w:rsid w:val="00A5730C"/>
    <w:rsid w:val="00A57DB1"/>
    <w:rsid w:val="00A6418A"/>
    <w:rsid w:val="00A8054E"/>
    <w:rsid w:val="00AA11D1"/>
    <w:rsid w:val="00AD454D"/>
    <w:rsid w:val="00AD4B42"/>
    <w:rsid w:val="00AE7B95"/>
    <w:rsid w:val="00AF56A3"/>
    <w:rsid w:val="00AF7D35"/>
    <w:rsid w:val="00AF7FE2"/>
    <w:rsid w:val="00B0654E"/>
    <w:rsid w:val="00B11C33"/>
    <w:rsid w:val="00B1331D"/>
    <w:rsid w:val="00B1519A"/>
    <w:rsid w:val="00B275EF"/>
    <w:rsid w:val="00B4423B"/>
    <w:rsid w:val="00B54A63"/>
    <w:rsid w:val="00B61E37"/>
    <w:rsid w:val="00B811FB"/>
    <w:rsid w:val="00B84FD7"/>
    <w:rsid w:val="00B87D4A"/>
    <w:rsid w:val="00B93AE8"/>
    <w:rsid w:val="00B96BF9"/>
    <w:rsid w:val="00BA2880"/>
    <w:rsid w:val="00BA321F"/>
    <w:rsid w:val="00BA3CBB"/>
    <w:rsid w:val="00BC67CE"/>
    <w:rsid w:val="00BC732F"/>
    <w:rsid w:val="00BD4D26"/>
    <w:rsid w:val="00BD7F20"/>
    <w:rsid w:val="00BE436B"/>
    <w:rsid w:val="00BF57D5"/>
    <w:rsid w:val="00BF77B3"/>
    <w:rsid w:val="00C01999"/>
    <w:rsid w:val="00C05BAC"/>
    <w:rsid w:val="00C12B61"/>
    <w:rsid w:val="00C1384B"/>
    <w:rsid w:val="00C201AF"/>
    <w:rsid w:val="00C215D4"/>
    <w:rsid w:val="00C244C3"/>
    <w:rsid w:val="00C46689"/>
    <w:rsid w:val="00C53856"/>
    <w:rsid w:val="00C65A5B"/>
    <w:rsid w:val="00C72733"/>
    <w:rsid w:val="00C76F5B"/>
    <w:rsid w:val="00C80E53"/>
    <w:rsid w:val="00C8745C"/>
    <w:rsid w:val="00C94DF9"/>
    <w:rsid w:val="00CA5884"/>
    <w:rsid w:val="00CB1FDA"/>
    <w:rsid w:val="00CD121D"/>
    <w:rsid w:val="00D03EB8"/>
    <w:rsid w:val="00D1137F"/>
    <w:rsid w:val="00D150E7"/>
    <w:rsid w:val="00D16AA6"/>
    <w:rsid w:val="00D26861"/>
    <w:rsid w:val="00D43C16"/>
    <w:rsid w:val="00D44139"/>
    <w:rsid w:val="00D44377"/>
    <w:rsid w:val="00D74D68"/>
    <w:rsid w:val="00D807CD"/>
    <w:rsid w:val="00D8236B"/>
    <w:rsid w:val="00D8340B"/>
    <w:rsid w:val="00D94085"/>
    <w:rsid w:val="00D94CCE"/>
    <w:rsid w:val="00DA2333"/>
    <w:rsid w:val="00DB595F"/>
    <w:rsid w:val="00E03EA3"/>
    <w:rsid w:val="00E06080"/>
    <w:rsid w:val="00E219CA"/>
    <w:rsid w:val="00E21EB3"/>
    <w:rsid w:val="00E22E88"/>
    <w:rsid w:val="00E34F7E"/>
    <w:rsid w:val="00E36277"/>
    <w:rsid w:val="00E3769B"/>
    <w:rsid w:val="00E42C6A"/>
    <w:rsid w:val="00E50ED6"/>
    <w:rsid w:val="00E5470A"/>
    <w:rsid w:val="00E548B9"/>
    <w:rsid w:val="00E60A3B"/>
    <w:rsid w:val="00E718BA"/>
    <w:rsid w:val="00E72A6C"/>
    <w:rsid w:val="00E9083A"/>
    <w:rsid w:val="00E90E36"/>
    <w:rsid w:val="00E944AF"/>
    <w:rsid w:val="00E94558"/>
    <w:rsid w:val="00E96D67"/>
    <w:rsid w:val="00EA29DE"/>
    <w:rsid w:val="00EB4B2F"/>
    <w:rsid w:val="00EB5E97"/>
    <w:rsid w:val="00EB66B7"/>
    <w:rsid w:val="00EC2604"/>
    <w:rsid w:val="00EC2E33"/>
    <w:rsid w:val="00EE147A"/>
    <w:rsid w:val="00EE3696"/>
    <w:rsid w:val="00EE43AE"/>
    <w:rsid w:val="00EF33FD"/>
    <w:rsid w:val="00EF4016"/>
    <w:rsid w:val="00EF49BA"/>
    <w:rsid w:val="00EF4EFD"/>
    <w:rsid w:val="00F02192"/>
    <w:rsid w:val="00F22592"/>
    <w:rsid w:val="00F508B2"/>
    <w:rsid w:val="00F534A7"/>
    <w:rsid w:val="00F72DC0"/>
    <w:rsid w:val="00F74038"/>
    <w:rsid w:val="00F82C74"/>
    <w:rsid w:val="00F83F31"/>
    <w:rsid w:val="00F851A6"/>
    <w:rsid w:val="00F95251"/>
    <w:rsid w:val="00FA179F"/>
    <w:rsid w:val="00FA5EA4"/>
    <w:rsid w:val="00FB0205"/>
    <w:rsid w:val="00FB3C70"/>
    <w:rsid w:val="00FC1CE1"/>
    <w:rsid w:val="00FD3ABE"/>
    <w:rsid w:val="00FD5EEF"/>
    <w:rsid w:val="00FD776C"/>
    <w:rsid w:val="00FE1BF7"/>
    <w:rsid w:val="00FE1C17"/>
    <w:rsid w:val="00FE424A"/>
    <w:rsid w:val="00FF3482"/>
    <w:rsid w:val="00FF67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SansMS,Bold" w:eastAsiaTheme="minorHAnsi" w:hAnsi="ComicSansMS,Bold" w:cs="Arial"/>
        <w:bCs/>
        <w:smallCaps/>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50"/>
    <w:pPr>
      <w:spacing w:after="200" w:line="276" w:lineRule="auto"/>
      <w:jc w:val="left"/>
    </w:pPr>
    <w:rPr>
      <w:rFonts w:asciiTheme="minorHAnsi" w:hAnsiTheme="minorHAnsi" w:cstheme="minorBidi"/>
      <w:bCs w:val="0"/>
      <w:smallCaps w:val="0"/>
    </w:rPr>
  </w:style>
  <w:style w:type="paragraph" w:styleId="Titre2">
    <w:name w:val="heading 2"/>
    <w:basedOn w:val="Normal"/>
    <w:link w:val="Titre2Car"/>
    <w:uiPriority w:val="9"/>
    <w:unhideWhenUsed/>
    <w:qFormat/>
    <w:rsid w:val="00083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3C50"/>
    <w:rPr>
      <w:rFonts w:ascii="Times New Roman" w:eastAsia="Times New Roman" w:hAnsi="Times New Roman" w:cs="Times New Roman"/>
      <w:b/>
      <w:smallCaps w:val="0"/>
      <w:sz w:val="36"/>
      <w:szCs w:val="3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437</Words>
  <Characters>2408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2018-08-05T01:06:00Z</dcterms:created>
  <dcterms:modified xsi:type="dcterms:W3CDTF">2018-08-05T01:21:00Z</dcterms:modified>
</cp:coreProperties>
</file>