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B1" w:rsidRDefault="00A378B1" w:rsidP="00A378B1">
      <w:pPr>
        <w:autoSpaceDE w:val="0"/>
        <w:autoSpaceDN w:val="0"/>
        <w:adjustRightInd w:val="0"/>
        <w:spacing w:after="0" w:line="240" w:lineRule="auto"/>
        <w:jc w:val="center"/>
        <w:rPr>
          <w:rFonts w:ascii="Verdana" w:hAnsi="Verdana" w:cs="TimesNewRomanPS"/>
          <w:b/>
          <w:sz w:val="24"/>
          <w:szCs w:val="24"/>
        </w:rPr>
      </w:pPr>
      <w:r>
        <w:rPr>
          <w:rFonts w:ascii="Verdana" w:hAnsi="Verdana" w:cs="TimesNewRomanPS"/>
          <w:b/>
          <w:sz w:val="24"/>
          <w:szCs w:val="24"/>
        </w:rPr>
        <w:t>5</w:t>
      </w:r>
      <w:r w:rsidRPr="00A378B1">
        <w:rPr>
          <w:rFonts w:ascii="Verdana" w:hAnsi="Verdana" w:cs="TimesNewRomanPS"/>
          <w:b/>
          <w:sz w:val="24"/>
          <w:szCs w:val="24"/>
          <w:vertAlign w:val="superscript"/>
        </w:rPr>
        <w:t>th</w:t>
      </w:r>
      <w:r>
        <w:rPr>
          <w:rFonts w:ascii="Verdana" w:hAnsi="Verdana" w:cs="TimesNewRomanPS"/>
          <w:b/>
          <w:sz w:val="24"/>
          <w:szCs w:val="24"/>
        </w:rPr>
        <w:t xml:space="preserve"> </w:t>
      </w:r>
      <w:proofErr w:type="spellStart"/>
      <w:r w:rsidR="005857FA">
        <w:rPr>
          <w:rFonts w:ascii="Verdana" w:hAnsi="Verdana" w:cs="TimesNewRomanPS"/>
          <w:b/>
          <w:sz w:val="24"/>
          <w:szCs w:val="24"/>
        </w:rPr>
        <w:t>AfHEA</w:t>
      </w:r>
      <w:proofErr w:type="spellEnd"/>
      <w:r w:rsidR="005857FA">
        <w:rPr>
          <w:rFonts w:ascii="Verdana" w:hAnsi="Verdana" w:cs="TimesNewRomanPS"/>
          <w:b/>
          <w:sz w:val="24"/>
          <w:szCs w:val="24"/>
        </w:rPr>
        <w:t xml:space="preserve"> </w:t>
      </w:r>
      <w:r>
        <w:rPr>
          <w:rFonts w:ascii="Verdana" w:hAnsi="Verdana" w:cs="TimesNewRomanPS"/>
          <w:b/>
          <w:sz w:val="24"/>
          <w:szCs w:val="24"/>
        </w:rPr>
        <w:t>Scie</w:t>
      </w:r>
      <w:r w:rsidR="0061374D">
        <w:rPr>
          <w:rFonts w:ascii="Verdana" w:hAnsi="Verdana" w:cs="TimesNewRomanPS"/>
          <w:b/>
          <w:sz w:val="24"/>
          <w:szCs w:val="24"/>
        </w:rPr>
        <w:t>ntific</w:t>
      </w:r>
      <w:r w:rsidR="005857FA">
        <w:rPr>
          <w:rFonts w:ascii="Verdana" w:hAnsi="Verdana" w:cs="TimesNewRomanPS"/>
          <w:b/>
          <w:sz w:val="24"/>
          <w:szCs w:val="24"/>
        </w:rPr>
        <w:t xml:space="preserve"> Conference- Ghana 2019</w:t>
      </w:r>
      <w:r w:rsidR="0061374D">
        <w:rPr>
          <w:rFonts w:ascii="Verdana" w:hAnsi="Verdana" w:cs="TimesNewRomanPS"/>
          <w:b/>
          <w:sz w:val="24"/>
          <w:szCs w:val="24"/>
        </w:rPr>
        <w:t xml:space="preserve"> </w:t>
      </w:r>
    </w:p>
    <w:p w:rsidR="00A378B1" w:rsidRPr="00DC7967" w:rsidRDefault="00A378B1" w:rsidP="00A378B1">
      <w:pPr>
        <w:autoSpaceDE w:val="0"/>
        <w:autoSpaceDN w:val="0"/>
        <w:adjustRightInd w:val="0"/>
        <w:spacing w:after="0" w:line="240" w:lineRule="auto"/>
        <w:jc w:val="center"/>
        <w:rPr>
          <w:rFonts w:ascii="Verdana" w:hAnsi="Verdana" w:cs="TimesNewRomanPS"/>
          <w:b/>
          <w:sz w:val="20"/>
          <w:szCs w:val="24"/>
        </w:rPr>
      </w:pPr>
    </w:p>
    <w:p w:rsidR="00A378B1" w:rsidRDefault="008C7081" w:rsidP="00A378B1">
      <w:pPr>
        <w:autoSpaceDE w:val="0"/>
        <w:autoSpaceDN w:val="0"/>
        <w:adjustRightInd w:val="0"/>
        <w:spacing w:after="0" w:line="240" w:lineRule="auto"/>
        <w:jc w:val="center"/>
        <w:rPr>
          <w:rFonts w:ascii="Verdana" w:hAnsi="Verdana" w:cs="TimesNewRomanPS"/>
          <w:b/>
          <w:sz w:val="24"/>
          <w:szCs w:val="24"/>
        </w:rPr>
      </w:pPr>
      <w:r>
        <w:rPr>
          <w:rFonts w:ascii="Verdana" w:hAnsi="Verdana" w:cs="TimesNewRomanPS"/>
          <w:b/>
          <w:sz w:val="24"/>
          <w:szCs w:val="24"/>
        </w:rPr>
        <w:t xml:space="preserve">Exploring the relationship between </w:t>
      </w:r>
      <w:r w:rsidR="00A378B1">
        <w:rPr>
          <w:rFonts w:ascii="Verdana" w:hAnsi="Verdana" w:cs="TimesNewRomanPS"/>
          <w:b/>
          <w:sz w:val="24"/>
          <w:szCs w:val="24"/>
        </w:rPr>
        <w:t>Communi</w:t>
      </w:r>
      <w:r>
        <w:rPr>
          <w:rFonts w:ascii="Verdana" w:hAnsi="Verdana" w:cs="TimesNewRomanPS"/>
          <w:b/>
          <w:sz w:val="24"/>
          <w:szCs w:val="24"/>
        </w:rPr>
        <w:t xml:space="preserve">ty-Based Health Insurance and </w:t>
      </w:r>
      <w:r w:rsidR="00DC7967">
        <w:rPr>
          <w:rFonts w:ascii="Verdana" w:hAnsi="Verdana" w:cs="TimesNewRomanPS"/>
          <w:b/>
          <w:sz w:val="24"/>
          <w:szCs w:val="24"/>
        </w:rPr>
        <w:t>Primary health</w:t>
      </w:r>
      <w:r w:rsidR="00A378B1">
        <w:rPr>
          <w:rFonts w:ascii="Verdana" w:hAnsi="Verdana" w:cs="TimesNewRomanPS"/>
          <w:b/>
          <w:sz w:val="24"/>
          <w:szCs w:val="24"/>
        </w:rPr>
        <w:t>care systems performance: Evidence from Nigeria</w:t>
      </w:r>
    </w:p>
    <w:p w:rsidR="008C7081" w:rsidRDefault="008C7081" w:rsidP="008C7081">
      <w:pPr>
        <w:spacing w:after="0" w:line="240" w:lineRule="auto"/>
        <w:jc w:val="center"/>
        <w:rPr>
          <w:rFonts w:ascii="Times New Roman" w:hAnsi="Times New Roman"/>
          <w:b/>
          <w:sz w:val="24"/>
          <w:szCs w:val="24"/>
        </w:rPr>
      </w:pPr>
    </w:p>
    <w:p w:rsidR="008C7081" w:rsidRPr="0061105B" w:rsidRDefault="008C7081" w:rsidP="008C7081">
      <w:pPr>
        <w:spacing w:after="0" w:line="240" w:lineRule="auto"/>
        <w:jc w:val="center"/>
        <w:rPr>
          <w:rFonts w:ascii="Times New Roman" w:hAnsi="Times New Roman"/>
          <w:b/>
          <w:i/>
          <w:sz w:val="24"/>
          <w:szCs w:val="24"/>
        </w:rPr>
      </w:pPr>
      <w:r w:rsidRPr="0061105B">
        <w:rPr>
          <w:rFonts w:ascii="Times New Roman" w:hAnsi="Times New Roman"/>
          <w:b/>
          <w:sz w:val="24"/>
          <w:szCs w:val="24"/>
        </w:rPr>
        <w:t>Ms. IBORO E. NELSON</w:t>
      </w:r>
      <w:r w:rsidR="004D2062">
        <w:rPr>
          <w:rFonts w:ascii="Times New Roman" w:hAnsi="Times New Roman"/>
          <w:b/>
          <w:sz w:val="24"/>
          <w:szCs w:val="24"/>
        </w:rPr>
        <w:t xml:space="preserve">; </w:t>
      </w:r>
      <w:r w:rsidR="004D2062" w:rsidRPr="004D2062">
        <w:rPr>
          <w:rFonts w:ascii="Times New Roman" w:hAnsi="Times New Roman"/>
          <w:b/>
          <w:i/>
          <w:sz w:val="24"/>
          <w:szCs w:val="24"/>
        </w:rPr>
        <w:t>PhD Candidate</w:t>
      </w:r>
    </w:p>
    <w:p w:rsidR="008C7081" w:rsidRDefault="008C7081" w:rsidP="008C7081">
      <w:pPr>
        <w:spacing w:after="0" w:line="240" w:lineRule="auto"/>
        <w:jc w:val="center"/>
        <w:rPr>
          <w:rFonts w:ascii="Times New Roman" w:hAnsi="Times New Roman"/>
          <w:b/>
          <w:sz w:val="24"/>
          <w:szCs w:val="24"/>
        </w:rPr>
      </w:pPr>
      <w:r>
        <w:rPr>
          <w:rFonts w:ascii="Times New Roman" w:hAnsi="Times New Roman"/>
          <w:b/>
          <w:sz w:val="24"/>
          <w:szCs w:val="24"/>
        </w:rPr>
        <w:t>Department of Economics</w:t>
      </w:r>
    </w:p>
    <w:p w:rsidR="008C7081" w:rsidRDefault="008C7081" w:rsidP="008C7081">
      <w:pPr>
        <w:spacing w:after="0" w:line="240" w:lineRule="auto"/>
        <w:jc w:val="center"/>
        <w:rPr>
          <w:rFonts w:ascii="Times New Roman" w:hAnsi="Times New Roman"/>
          <w:b/>
          <w:sz w:val="24"/>
          <w:szCs w:val="24"/>
        </w:rPr>
      </w:pPr>
      <w:r>
        <w:rPr>
          <w:rFonts w:ascii="Times New Roman" w:hAnsi="Times New Roman"/>
          <w:b/>
          <w:sz w:val="24"/>
          <w:szCs w:val="24"/>
        </w:rPr>
        <w:t xml:space="preserve">University of </w:t>
      </w:r>
      <w:proofErr w:type="spellStart"/>
      <w:r>
        <w:rPr>
          <w:rFonts w:ascii="Times New Roman" w:hAnsi="Times New Roman"/>
          <w:b/>
          <w:sz w:val="24"/>
          <w:szCs w:val="24"/>
        </w:rPr>
        <w:t>Uyo</w:t>
      </w:r>
      <w:proofErr w:type="spellEnd"/>
    </w:p>
    <w:p w:rsidR="008C7081" w:rsidRPr="0061105B" w:rsidRDefault="008C7081" w:rsidP="008C7081">
      <w:pPr>
        <w:spacing w:after="0" w:line="240" w:lineRule="auto"/>
        <w:jc w:val="center"/>
        <w:rPr>
          <w:rFonts w:ascii="Times New Roman" w:hAnsi="Times New Roman"/>
          <w:b/>
          <w:sz w:val="24"/>
          <w:szCs w:val="24"/>
        </w:rPr>
      </w:pPr>
      <w:proofErr w:type="spellStart"/>
      <w:r>
        <w:rPr>
          <w:rFonts w:ascii="Times New Roman" w:hAnsi="Times New Roman"/>
          <w:b/>
          <w:sz w:val="24"/>
          <w:szCs w:val="24"/>
        </w:rPr>
        <w:t>Akwa</w:t>
      </w:r>
      <w:proofErr w:type="spellEnd"/>
      <w:r>
        <w:rPr>
          <w:rFonts w:ascii="Times New Roman" w:hAnsi="Times New Roman"/>
          <w:b/>
          <w:sz w:val="24"/>
          <w:szCs w:val="24"/>
        </w:rPr>
        <w:t xml:space="preserve"> Ibom State, Nigeria</w:t>
      </w:r>
    </w:p>
    <w:p w:rsidR="008C7081" w:rsidRPr="0061105B" w:rsidRDefault="008C7081" w:rsidP="008C7081">
      <w:pPr>
        <w:spacing w:after="0" w:line="240" w:lineRule="auto"/>
        <w:jc w:val="center"/>
        <w:rPr>
          <w:rFonts w:ascii="Times New Roman" w:hAnsi="Times New Roman"/>
          <w:sz w:val="24"/>
          <w:szCs w:val="24"/>
        </w:rPr>
      </w:pPr>
      <w:r>
        <w:rPr>
          <w:rFonts w:ascii="Times New Roman" w:hAnsi="Times New Roman"/>
          <w:sz w:val="24"/>
          <w:szCs w:val="24"/>
        </w:rPr>
        <w:t>Tel: +234 8023572984</w:t>
      </w:r>
    </w:p>
    <w:p w:rsidR="008C7081" w:rsidRDefault="008C7081" w:rsidP="008C7081">
      <w:pPr>
        <w:spacing w:after="0" w:line="240" w:lineRule="auto"/>
        <w:jc w:val="center"/>
        <w:rPr>
          <w:rStyle w:val="Hyperlink"/>
          <w:rFonts w:ascii="Times New Roman" w:hAnsi="Times New Roman"/>
          <w:sz w:val="24"/>
          <w:szCs w:val="24"/>
        </w:rPr>
      </w:pPr>
      <w:r w:rsidRPr="0061105B">
        <w:rPr>
          <w:rFonts w:ascii="Times New Roman" w:hAnsi="Times New Roman"/>
          <w:sz w:val="24"/>
          <w:szCs w:val="24"/>
        </w:rPr>
        <w:t xml:space="preserve">Email: </w:t>
      </w:r>
      <w:r>
        <w:rPr>
          <w:rFonts w:ascii="Times New Roman" w:hAnsi="Times New Roman"/>
          <w:sz w:val="24"/>
          <w:szCs w:val="24"/>
        </w:rPr>
        <w:t>jesusiboro@yahoo.com</w:t>
      </w:r>
    </w:p>
    <w:p w:rsidR="005857FA" w:rsidRDefault="005857FA" w:rsidP="00A378B1">
      <w:pPr>
        <w:autoSpaceDE w:val="0"/>
        <w:autoSpaceDN w:val="0"/>
        <w:adjustRightInd w:val="0"/>
        <w:spacing w:after="0" w:line="240" w:lineRule="auto"/>
        <w:jc w:val="center"/>
        <w:rPr>
          <w:rFonts w:ascii="Verdana" w:hAnsi="Verdana" w:cs="TimesNewRomanPS"/>
          <w:b/>
          <w:sz w:val="24"/>
          <w:szCs w:val="24"/>
        </w:rPr>
      </w:pPr>
    </w:p>
    <w:p w:rsidR="005857FA" w:rsidRPr="005857FA" w:rsidRDefault="005857FA" w:rsidP="00A378B1">
      <w:pPr>
        <w:autoSpaceDE w:val="0"/>
        <w:autoSpaceDN w:val="0"/>
        <w:adjustRightInd w:val="0"/>
        <w:spacing w:after="0" w:line="240" w:lineRule="auto"/>
        <w:jc w:val="center"/>
        <w:rPr>
          <w:rFonts w:ascii="Verdana" w:hAnsi="Verdana" w:cs="TimesNewRomanPS"/>
          <w:b/>
          <w:sz w:val="24"/>
          <w:szCs w:val="24"/>
          <w:u w:val="single"/>
        </w:rPr>
      </w:pPr>
      <w:r w:rsidRPr="005857FA">
        <w:rPr>
          <w:rFonts w:ascii="Verdana" w:hAnsi="Verdana" w:cs="TimesNewRomanPS"/>
          <w:b/>
          <w:sz w:val="24"/>
          <w:szCs w:val="24"/>
          <w:u w:val="single"/>
        </w:rPr>
        <w:t>ABSTRACT</w:t>
      </w:r>
    </w:p>
    <w:p w:rsidR="00A378B1" w:rsidRDefault="00A378B1" w:rsidP="00A378B1">
      <w:pPr>
        <w:autoSpaceDE w:val="0"/>
        <w:autoSpaceDN w:val="0"/>
        <w:adjustRightInd w:val="0"/>
        <w:spacing w:after="0" w:line="240" w:lineRule="auto"/>
        <w:jc w:val="both"/>
        <w:rPr>
          <w:rFonts w:ascii="Verdana" w:hAnsi="Verdana" w:cs="TimesNewRomanPS"/>
          <w:b/>
          <w:sz w:val="24"/>
          <w:szCs w:val="24"/>
        </w:rPr>
      </w:pPr>
    </w:p>
    <w:p w:rsidR="00A378B1" w:rsidRDefault="00A378B1" w:rsidP="00A378B1">
      <w:pPr>
        <w:autoSpaceDE w:val="0"/>
        <w:autoSpaceDN w:val="0"/>
        <w:adjustRightInd w:val="0"/>
        <w:spacing w:after="0" w:line="240" w:lineRule="auto"/>
        <w:jc w:val="both"/>
        <w:rPr>
          <w:rFonts w:ascii="Verdana" w:hAnsi="Verdana" w:cs="TimesNewRomanPS"/>
          <w:sz w:val="24"/>
          <w:szCs w:val="24"/>
        </w:rPr>
      </w:pPr>
      <w:r w:rsidRPr="00BA75F7">
        <w:rPr>
          <w:rFonts w:ascii="Verdana" w:hAnsi="Verdana" w:cs="TimesNewRomanPS"/>
          <w:b/>
          <w:sz w:val="24"/>
          <w:szCs w:val="24"/>
        </w:rPr>
        <w:t>Background</w:t>
      </w:r>
      <w:r>
        <w:rPr>
          <w:rFonts w:ascii="Verdana" w:hAnsi="Verdana" w:cs="TimesNewRomanPS"/>
          <w:sz w:val="24"/>
          <w:szCs w:val="24"/>
        </w:rPr>
        <w:t>: Primary Health Care (PHC) is the backbone of a health systems and her strength is associated with improved population health in low and middle-income countries</w:t>
      </w:r>
      <w:bookmarkStart w:id="0" w:name="_GoBack"/>
      <w:bookmarkEnd w:id="0"/>
      <w:r>
        <w:rPr>
          <w:rFonts w:ascii="Verdana" w:hAnsi="Verdana" w:cs="TimesNewRomanPS"/>
          <w:sz w:val="24"/>
          <w:szCs w:val="24"/>
        </w:rPr>
        <w:t>. The chronic under-funding of the Nigeri</w:t>
      </w:r>
      <w:r w:rsidR="005857FA">
        <w:rPr>
          <w:rFonts w:ascii="Verdana" w:hAnsi="Verdana" w:cs="TimesNewRomanPS"/>
          <w:sz w:val="24"/>
          <w:szCs w:val="24"/>
        </w:rPr>
        <w:t>an health system generally and p</w:t>
      </w:r>
      <w:r>
        <w:rPr>
          <w:rFonts w:ascii="Verdana" w:hAnsi="Verdana" w:cs="TimesNewRomanPS"/>
          <w:sz w:val="24"/>
          <w:szCs w:val="24"/>
        </w:rPr>
        <w:t>rimary health care in particular exacerbates health inequity and hampers efforts towards universal health coverage (UHC). Besides, it results in poor service utilization rate and hampers efforts towards poor health indices. However, mechanisms that offer health security through risk pooling like community-based health insurance (CBHI) scheme has been implemented across most rural settings albeit in relatively small scale as a tool in achieving equity in access to health services.</w:t>
      </w:r>
    </w:p>
    <w:p w:rsidR="00A378B1" w:rsidRDefault="00A378B1" w:rsidP="00A378B1">
      <w:pPr>
        <w:autoSpaceDE w:val="0"/>
        <w:autoSpaceDN w:val="0"/>
        <w:adjustRightInd w:val="0"/>
        <w:spacing w:after="0" w:line="240" w:lineRule="auto"/>
        <w:jc w:val="both"/>
        <w:rPr>
          <w:rFonts w:ascii="Verdana" w:hAnsi="Verdana" w:cs="TimesNewRomanPS"/>
          <w:sz w:val="24"/>
          <w:szCs w:val="24"/>
        </w:rPr>
      </w:pPr>
      <w:r w:rsidRPr="007E2B7C">
        <w:rPr>
          <w:rFonts w:ascii="Verdana" w:hAnsi="Verdana" w:cs="TimesNewRomanPS"/>
          <w:b/>
          <w:sz w:val="24"/>
          <w:szCs w:val="24"/>
        </w:rPr>
        <w:t>Objective</w:t>
      </w:r>
      <w:r>
        <w:rPr>
          <w:rFonts w:ascii="Verdana" w:hAnsi="Verdana" w:cs="TimesNewRomanPS"/>
          <w:b/>
          <w:sz w:val="24"/>
          <w:szCs w:val="24"/>
        </w:rPr>
        <w:t xml:space="preserve"> and Method</w:t>
      </w:r>
      <w:r>
        <w:rPr>
          <w:rFonts w:ascii="Verdana" w:hAnsi="Verdana" w:cs="TimesNewRomanPS"/>
          <w:sz w:val="24"/>
          <w:szCs w:val="24"/>
        </w:rPr>
        <w:t xml:space="preserve">: The paper seeks to assess the contributions of the inputs and processes of the CBHI to the PHC systems performance using a simple input-output logic model that focuses on health financing and service delivery capacity as input and governance and health service utilization (ANC, delivery and immunization) as output. Data from two CBHI schemes in </w:t>
      </w:r>
      <w:proofErr w:type="spellStart"/>
      <w:r>
        <w:rPr>
          <w:rFonts w:ascii="Verdana" w:hAnsi="Verdana" w:cs="TimesNewRomanPS"/>
          <w:sz w:val="24"/>
          <w:szCs w:val="24"/>
        </w:rPr>
        <w:t>Akwa</w:t>
      </w:r>
      <w:proofErr w:type="spellEnd"/>
      <w:r>
        <w:rPr>
          <w:rFonts w:ascii="Verdana" w:hAnsi="Verdana" w:cs="TimesNewRomanPS"/>
          <w:sz w:val="24"/>
          <w:szCs w:val="24"/>
        </w:rPr>
        <w:t xml:space="preserve"> Ibom and River States (pre-CBHI scheme and during the scheme) were used. This was complemented by FGD and Key Informant interview (KII) on health workers, community structures and CBHI enrollees.</w:t>
      </w:r>
    </w:p>
    <w:p w:rsidR="00A378B1" w:rsidRDefault="00A378B1" w:rsidP="00A378B1">
      <w:pPr>
        <w:autoSpaceDE w:val="0"/>
        <w:autoSpaceDN w:val="0"/>
        <w:adjustRightInd w:val="0"/>
        <w:spacing w:after="0" w:line="240" w:lineRule="auto"/>
        <w:jc w:val="both"/>
        <w:rPr>
          <w:rFonts w:ascii="Verdana" w:hAnsi="Verdana" w:cs="TimesNewRomanPS"/>
          <w:sz w:val="24"/>
          <w:szCs w:val="24"/>
        </w:rPr>
      </w:pPr>
      <w:r w:rsidRPr="007E2B7C">
        <w:rPr>
          <w:rFonts w:ascii="Verdana" w:hAnsi="Verdana" w:cs="TimesNewRomanPS"/>
          <w:b/>
          <w:sz w:val="24"/>
          <w:szCs w:val="24"/>
        </w:rPr>
        <w:t>Results</w:t>
      </w:r>
      <w:r>
        <w:rPr>
          <w:rFonts w:ascii="Verdana" w:hAnsi="Verdana" w:cs="TimesNewRomanPS"/>
          <w:sz w:val="24"/>
          <w:szCs w:val="24"/>
        </w:rPr>
        <w:t>: The result of the analysis shows</w:t>
      </w:r>
      <w:r w:rsidRPr="00BA75F7">
        <w:rPr>
          <w:rFonts w:ascii="Verdana" w:hAnsi="Verdana" w:cs="TimesNewRomanPS"/>
          <w:sz w:val="24"/>
          <w:szCs w:val="24"/>
        </w:rPr>
        <w:t xml:space="preserve"> that antenatal clinic </w:t>
      </w:r>
      <w:r>
        <w:rPr>
          <w:rFonts w:ascii="Verdana" w:hAnsi="Verdana" w:cs="TimesNewRomanPS"/>
          <w:sz w:val="24"/>
          <w:szCs w:val="24"/>
        </w:rPr>
        <w:t xml:space="preserve">(ANC) </w:t>
      </w:r>
      <w:r w:rsidRPr="00BA75F7">
        <w:rPr>
          <w:rFonts w:ascii="Verdana" w:hAnsi="Verdana" w:cs="TimesNewRomanPS"/>
          <w:sz w:val="24"/>
          <w:szCs w:val="24"/>
        </w:rPr>
        <w:t xml:space="preserve">attendance and delivery increased significantly </w:t>
      </w:r>
      <w:r>
        <w:rPr>
          <w:rFonts w:ascii="Verdana" w:hAnsi="Verdana" w:cs="TimesNewRomanPS"/>
          <w:sz w:val="24"/>
          <w:szCs w:val="24"/>
        </w:rPr>
        <w:t>over the six</w:t>
      </w:r>
      <w:r w:rsidRPr="00BA75F7">
        <w:rPr>
          <w:rFonts w:ascii="Verdana" w:hAnsi="Verdana" w:cs="TimesNewRomanPS"/>
          <w:sz w:val="24"/>
          <w:szCs w:val="24"/>
        </w:rPr>
        <w:t xml:space="preserve"> months </w:t>
      </w:r>
      <w:r>
        <w:rPr>
          <w:rFonts w:ascii="Verdana" w:hAnsi="Verdana" w:cs="TimesNewRomanPS"/>
          <w:sz w:val="24"/>
          <w:szCs w:val="24"/>
        </w:rPr>
        <w:t xml:space="preserve">period following </w:t>
      </w:r>
      <w:r w:rsidRPr="00BA75F7">
        <w:rPr>
          <w:rFonts w:ascii="Verdana" w:hAnsi="Verdana" w:cs="TimesNewRomanPS"/>
          <w:sz w:val="24"/>
          <w:szCs w:val="24"/>
        </w:rPr>
        <w:t>commencement of the scheme</w:t>
      </w:r>
      <w:r>
        <w:rPr>
          <w:rFonts w:ascii="Verdana" w:hAnsi="Verdana" w:cs="TimesNewRomanPS"/>
          <w:sz w:val="24"/>
          <w:szCs w:val="24"/>
        </w:rPr>
        <w:t xml:space="preserve"> and progresses thereafter.</w:t>
      </w:r>
      <w:r w:rsidRPr="00BA75F7">
        <w:rPr>
          <w:rFonts w:ascii="Verdana" w:hAnsi="Verdana" w:cs="TimesNewRomanPS"/>
          <w:sz w:val="24"/>
          <w:szCs w:val="24"/>
        </w:rPr>
        <w:t xml:space="preserve"> Similarly</w:t>
      </w:r>
      <w:r>
        <w:rPr>
          <w:rFonts w:ascii="Verdana" w:hAnsi="Verdana" w:cs="TimesNewRomanPS"/>
          <w:sz w:val="24"/>
          <w:szCs w:val="24"/>
        </w:rPr>
        <w:t>,</w:t>
      </w:r>
      <w:r w:rsidRPr="00BA75F7">
        <w:rPr>
          <w:rFonts w:ascii="Verdana" w:hAnsi="Verdana" w:cs="TimesNewRomanPS"/>
          <w:sz w:val="24"/>
          <w:szCs w:val="24"/>
        </w:rPr>
        <w:t xml:space="preserve"> quality of care from the client perspective, together with the availability of drugs and equipment at the </w:t>
      </w:r>
      <w:proofErr w:type="spellStart"/>
      <w:r w:rsidRPr="00BA75F7">
        <w:rPr>
          <w:rFonts w:ascii="Verdana" w:hAnsi="Verdana" w:cs="TimesNewRomanPS"/>
          <w:sz w:val="24"/>
          <w:szCs w:val="24"/>
        </w:rPr>
        <w:t>centre</w:t>
      </w:r>
      <w:proofErr w:type="spellEnd"/>
      <w:r w:rsidRPr="00BA75F7">
        <w:rPr>
          <w:rFonts w:ascii="Verdana" w:hAnsi="Verdana" w:cs="TimesNewRomanPS"/>
          <w:sz w:val="24"/>
          <w:szCs w:val="24"/>
        </w:rPr>
        <w:t xml:space="preserve"> also s</w:t>
      </w:r>
      <w:r>
        <w:rPr>
          <w:rFonts w:ascii="Verdana" w:hAnsi="Verdana" w:cs="TimesNewRomanPS"/>
          <w:sz w:val="24"/>
          <w:szCs w:val="24"/>
        </w:rPr>
        <w:t xml:space="preserve">howed significant improvement. In additional, the scheme also engenders </w:t>
      </w:r>
      <w:r w:rsidRPr="001D3A7A">
        <w:rPr>
          <w:rFonts w:ascii="Verdana" w:hAnsi="Verdana" w:cs="TimesNewRomanPS"/>
          <w:sz w:val="24"/>
          <w:szCs w:val="24"/>
        </w:rPr>
        <w:t>effective referral mechanism.</w:t>
      </w:r>
      <w:r>
        <w:rPr>
          <w:rFonts w:ascii="Verdana" w:hAnsi="Verdana" w:cs="TimesNewRomanPS"/>
          <w:sz w:val="24"/>
          <w:szCs w:val="24"/>
        </w:rPr>
        <w:t xml:space="preserve"> </w:t>
      </w:r>
      <w:r w:rsidRPr="00BA75F7">
        <w:rPr>
          <w:rFonts w:ascii="Verdana" w:hAnsi="Verdana" w:cs="TimesNewRomanPS"/>
          <w:sz w:val="24"/>
          <w:szCs w:val="24"/>
        </w:rPr>
        <w:t xml:space="preserve"> </w:t>
      </w:r>
    </w:p>
    <w:p w:rsidR="00B215BC" w:rsidRDefault="00A378B1" w:rsidP="00822267">
      <w:pPr>
        <w:autoSpaceDE w:val="0"/>
        <w:autoSpaceDN w:val="0"/>
        <w:adjustRightInd w:val="0"/>
        <w:spacing w:after="0" w:line="240" w:lineRule="auto"/>
        <w:jc w:val="both"/>
      </w:pPr>
      <w:r w:rsidRPr="00034C78">
        <w:rPr>
          <w:rFonts w:ascii="Verdana" w:hAnsi="Verdana" w:cs="TimesNewRomanPS"/>
          <w:b/>
          <w:sz w:val="24"/>
          <w:szCs w:val="24"/>
        </w:rPr>
        <w:t>Conclusion</w:t>
      </w:r>
      <w:r>
        <w:rPr>
          <w:rFonts w:ascii="Verdana" w:hAnsi="Verdana" w:cs="TimesNewRomanPS"/>
          <w:sz w:val="24"/>
          <w:szCs w:val="24"/>
        </w:rPr>
        <w:t xml:space="preserve">: </w:t>
      </w:r>
      <w:r w:rsidRPr="001D3A7A">
        <w:rPr>
          <w:rFonts w:ascii="Verdana" w:hAnsi="Verdana" w:cs="TimesNewRomanPS"/>
          <w:sz w:val="24"/>
          <w:szCs w:val="24"/>
        </w:rPr>
        <w:t xml:space="preserve">CBHF </w:t>
      </w:r>
      <w:r>
        <w:rPr>
          <w:rFonts w:ascii="Verdana" w:hAnsi="Verdana" w:cs="TimesNewRomanPS"/>
          <w:sz w:val="24"/>
          <w:szCs w:val="24"/>
        </w:rPr>
        <w:t xml:space="preserve">holds huge potentials towards improving the population health in Nigeria and accelerating efforts towards the achievements of UHC. Besides, it provides a good option to </w:t>
      </w:r>
      <w:r w:rsidRPr="00034C78">
        <w:rPr>
          <w:rFonts w:ascii="Verdana" w:hAnsi="Verdana" w:cs="TimesNewRomanPS"/>
          <w:sz w:val="24"/>
          <w:szCs w:val="24"/>
        </w:rPr>
        <w:t>providing</w:t>
      </w:r>
      <w:r>
        <w:rPr>
          <w:rFonts w:ascii="Verdana" w:hAnsi="Verdana" w:cs="TimesNewRomanPS"/>
          <w:sz w:val="24"/>
          <w:szCs w:val="24"/>
        </w:rPr>
        <w:t xml:space="preserve"> health </w:t>
      </w:r>
      <w:r w:rsidR="008C7081">
        <w:rPr>
          <w:rFonts w:ascii="Verdana" w:hAnsi="Verdana" w:cs="TimesNewRomanPS"/>
          <w:sz w:val="24"/>
          <w:szCs w:val="24"/>
        </w:rPr>
        <w:t>coverage for</w:t>
      </w:r>
      <w:r w:rsidRPr="00034C78">
        <w:rPr>
          <w:rFonts w:ascii="Verdana" w:hAnsi="Verdana" w:cs="TimesNewRomanPS"/>
          <w:sz w:val="24"/>
          <w:szCs w:val="24"/>
        </w:rPr>
        <w:t xml:space="preserve"> t</w:t>
      </w:r>
      <w:r>
        <w:rPr>
          <w:rFonts w:ascii="Verdana" w:hAnsi="Verdana" w:cs="TimesNewRomanPS"/>
          <w:sz w:val="24"/>
          <w:szCs w:val="24"/>
        </w:rPr>
        <w:t>he informal sector when properly designed and owned by the community.</w:t>
      </w:r>
    </w:p>
    <w:sectPr w:rsidR="00B21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B1"/>
    <w:rsid w:val="004D2062"/>
    <w:rsid w:val="005857FA"/>
    <w:rsid w:val="0061374D"/>
    <w:rsid w:val="00822267"/>
    <w:rsid w:val="008C7081"/>
    <w:rsid w:val="00A378B1"/>
    <w:rsid w:val="00B215BC"/>
    <w:rsid w:val="00D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F1340-0BEB-4AE0-8574-7F70BF01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7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2018-08-10T09:30:00Z</dcterms:created>
  <dcterms:modified xsi:type="dcterms:W3CDTF">2018-08-12T21:32:00Z</dcterms:modified>
</cp:coreProperties>
</file>