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C" w:rsidRDefault="00B8173C" w:rsidP="002718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173C" w:rsidRPr="006D6077" w:rsidRDefault="00B8173C" w:rsidP="00E71D38">
      <w:pPr>
        <w:spacing w:after="0" w:line="36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6D6077">
        <w:rPr>
          <w:rFonts w:ascii="Times New Roman" w:hAnsi="Times New Roman"/>
          <w:b/>
          <w:sz w:val="24"/>
          <w:szCs w:val="24"/>
        </w:rPr>
        <w:t>DIRECT AND SPILLOVER EFFECTS OF HEALTH INSURANCE</w:t>
      </w:r>
    </w:p>
    <w:p w:rsidR="00B8173C" w:rsidRPr="006D6077" w:rsidRDefault="00B8173C" w:rsidP="00E71D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077">
        <w:rPr>
          <w:rFonts w:ascii="Times New Roman" w:hAnsi="Times New Roman"/>
          <w:b/>
          <w:sz w:val="24"/>
          <w:szCs w:val="24"/>
        </w:rPr>
        <w:t>ON HOUSEHOLD CONSUMPTION PATTERNS IN EKITI STATE</w:t>
      </w:r>
      <w:r w:rsidR="006F5D27">
        <w:rPr>
          <w:rFonts w:ascii="Times New Roman" w:hAnsi="Times New Roman"/>
          <w:b/>
          <w:sz w:val="24"/>
          <w:szCs w:val="24"/>
        </w:rPr>
        <w:t>, NIGERIA.</w:t>
      </w:r>
    </w:p>
    <w:p w:rsidR="00B8173C" w:rsidRPr="00E71D38" w:rsidRDefault="00B8173C" w:rsidP="00E71D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71D38">
        <w:rPr>
          <w:rFonts w:ascii="Times New Roman" w:hAnsi="Times New Roman"/>
          <w:color w:val="000000" w:themeColor="text1"/>
          <w:sz w:val="24"/>
          <w:szCs w:val="24"/>
        </w:rPr>
        <w:t xml:space="preserve">Francis O. </w:t>
      </w:r>
      <w:proofErr w:type="spellStart"/>
      <w:r w:rsidRPr="00E71D38">
        <w:rPr>
          <w:rFonts w:ascii="Times New Roman" w:hAnsi="Times New Roman"/>
          <w:color w:val="000000" w:themeColor="text1"/>
          <w:sz w:val="24"/>
          <w:szCs w:val="24"/>
        </w:rPr>
        <w:t>Adeyemi</w:t>
      </w:r>
      <w:proofErr w:type="spellEnd"/>
      <w:r w:rsidRPr="00E71D38">
        <w:rPr>
          <w:rFonts w:ascii="Times New Roman" w:hAnsi="Times New Roman"/>
          <w:color w:val="000000" w:themeColor="text1"/>
          <w:sz w:val="24"/>
          <w:szCs w:val="24"/>
        </w:rPr>
        <w:t>, Department of Economics, University of Ibadan</w:t>
      </w:r>
      <w:r w:rsidRPr="00E71D3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71D38">
        <w:rPr>
          <w:rFonts w:ascii="Times New Roman" w:eastAsiaTheme="minorHAnsi" w:hAnsi="Times New Roman"/>
          <w:i/>
          <w:iCs/>
          <w:color w:val="252525"/>
          <w:sz w:val="24"/>
          <w:szCs w:val="24"/>
        </w:rPr>
        <w:t>08039415837</w:t>
      </w:r>
    </w:p>
    <w:p w:rsidR="00B8173C" w:rsidRPr="00E71D38" w:rsidRDefault="00B8173C" w:rsidP="00E71D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71D38">
        <w:rPr>
          <w:rFonts w:ascii="Times New Roman" w:eastAsiaTheme="minorHAnsi" w:hAnsi="Times New Roman"/>
          <w:i/>
          <w:iCs/>
          <w:color w:val="252525"/>
          <w:sz w:val="24"/>
          <w:szCs w:val="24"/>
        </w:rPr>
        <w:t>author</w:t>
      </w:r>
      <w:proofErr w:type="gramEnd"/>
      <w:r w:rsidRPr="00E71D38">
        <w:rPr>
          <w:rFonts w:ascii="Times New Roman" w:eastAsiaTheme="minorHAnsi" w:hAnsi="Times New Roman"/>
          <w:i/>
          <w:iCs/>
          <w:color w:val="252525"/>
          <w:sz w:val="24"/>
          <w:szCs w:val="24"/>
        </w:rPr>
        <w:t xml:space="preserve">: </w:t>
      </w:r>
      <w:hyperlink r:id="rId5" w:history="1">
        <w:r w:rsidRPr="00E71D38">
          <w:rPr>
            <w:rStyle w:val="Hyperlink"/>
            <w:rFonts w:ascii="Times New Roman" w:eastAsiaTheme="minorHAnsi" w:hAnsi="Times New Roman"/>
            <w:i/>
            <w:iCs/>
            <w:sz w:val="24"/>
            <w:szCs w:val="24"/>
          </w:rPr>
          <w:t>franceadeyemi@yahoo.com</w:t>
        </w:r>
      </w:hyperlink>
      <w:r w:rsidRPr="00E71D38">
        <w:rPr>
          <w:rFonts w:ascii="Times New Roman" w:eastAsiaTheme="minorHAnsi" w:hAnsi="Times New Roman"/>
          <w:i/>
          <w:iCs/>
          <w:color w:val="252525"/>
          <w:sz w:val="24"/>
          <w:szCs w:val="24"/>
        </w:rPr>
        <w:t>.</w:t>
      </w:r>
    </w:p>
    <w:p w:rsidR="00271891" w:rsidRPr="00862798" w:rsidRDefault="00271891" w:rsidP="00E71D3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62798">
        <w:rPr>
          <w:rFonts w:ascii="Times New Roman" w:hAnsi="Times New Roman"/>
          <w:b/>
          <w:color w:val="000000" w:themeColor="text1"/>
          <w:sz w:val="24"/>
          <w:szCs w:val="24"/>
        </w:rPr>
        <w:t>ABSTRACT</w:t>
      </w:r>
      <w:bookmarkStart w:id="0" w:name="_GoBack"/>
      <w:bookmarkEnd w:id="0"/>
    </w:p>
    <w:p w:rsidR="00271891" w:rsidRPr="00862798" w:rsidRDefault="006D775B" w:rsidP="00271891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The twin issues of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resource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and poverty distribution in Nigeria are paradoxical. This is because, though the country is rich in natural, land and human resources,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Nigerian 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>people are still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being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described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as 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>poor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This is confirmed by the report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of national bureau of statistics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that 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nearly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70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percent of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Nigerians as at 2017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were living in poverty using dollar per day adjusted purchasing power parity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as the</w:t>
      </w:r>
      <w:r w:rsidRPr="00E8545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criteri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on</w:t>
      </w:r>
      <w:r w:rsidR="00271891" w:rsidRPr="00600DF7">
        <w:rPr>
          <w:rFonts w:ascii="Times New Roman" w:hAnsi="Times New Roman"/>
          <w:color w:val="000000" w:themeColor="text1"/>
          <w:sz w:val="23"/>
          <w:szCs w:val="23"/>
        </w:rPr>
        <w:t>. This implies</w:t>
      </w:r>
      <w:r w:rsidR="00271891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="00271891" w:rsidRPr="00600DF7">
        <w:rPr>
          <w:rFonts w:ascii="Times New Roman" w:hAnsi="Times New Roman"/>
          <w:color w:val="000000" w:themeColor="text1"/>
          <w:sz w:val="23"/>
          <w:szCs w:val="23"/>
        </w:rPr>
        <w:t>weak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ability to smoothen consumption over time for a large percentage of the population whenever there is ailment. Previous studies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had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investigated direct effect of health insurance on medical consumption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with no 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>attention to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the spillover effects on non-medical consumption. 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 xml:space="preserve">This study </w:t>
      </w:r>
      <w:r w:rsidR="006F5D27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>therefore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>, designed to examine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the direct and spillover effects of </w:t>
      </w:r>
      <w:r w:rsidR="00271891">
        <w:rPr>
          <w:rFonts w:ascii="Times New Roman" w:hAnsi="Times New Roman"/>
          <w:color w:val="000000" w:themeColor="text1"/>
          <w:sz w:val="24"/>
          <w:szCs w:val="24"/>
        </w:rPr>
        <w:t>HI</w:t>
      </w:r>
      <w:r w:rsidR="00271891"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on both medical and non-medical consumption in Ekiti State. </w:t>
      </w:r>
    </w:p>
    <w:p w:rsidR="00271891" w:rsidRPr="00862798" w:rsidRDefault="00271891" w:rsidP="00271891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173C" w:rsidRDefault="00271891" w:rsidP="002718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urv</w:t>
      </w:r>
      <w:r>
        <w:rPr>
          <w:rFonts w:ascii="Times New Roman" w:hAnsi="Times New Roman"/>
          <w:color w:val="000000" w:themeColor="text1"/>
          <w:sz w:val="24"/>
          <w:szCs w:val="24"/>
        </w:rPr>
        <w:t>ey research design was employed and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purposive sampling technique was </w:t>
      </w:r>
      <w:r>
        <w:rPr>
          <w:rFonts w:ascii="Times New Roman" w:hAnsi="Times New Roman"/>
          <w:color w:val="000000" w:themeColor="text1"/>
          <w:sz w:val="24"/>
          <w:szCs w:val="24"/>
        </w:rPr>
        <w:t>used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to select hospitals that offer health insurance services across the sixteen local government areas (LGAs)</w:t>
      </w:r>
      <w:r w:rsidR="00B8173C">
        <w:rPr>
          <w:rFonts w:ascii="Times New Roman" w:hAnsi="Times New Roman"/>
          <w:color w:val="000000" w:themeColor="text1"/>
          <w:sz w:val="24"/>
          <w:szCs w:val="24"/>
        </w:rPr>
        <w:t xml:space="preserve"> of 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Ekiti</w:t>
      </w:r>
      <w:r w:rsidR="00B8173C">
        <w:rPr>
          <w:rFonts w:ascii="Times New Roman" w:hAnsi="Times New Roman"/>
          <w:color w:val="000000" w:themeColor="text1"/>
          <w:sz w:val="24"/>
          <w:szCs w:val="24"/>
        </w:rPr>
        <w:t> state. A structured questionnaire was 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randomly administered to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95 patients </w:t>
      </w:r>
      <w:r>
        <w:rPr>
          <w:rFonts w:ascii="Times New Roman" w:hAnsi="Times New Roman"/>
          <w:color w:val="000000" w:themeColor="text1"/>
          <w:sz w:val="24"/>
          <w:szCs w:val="24"/>
        </w:rPr>
        <w:t>per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 LGA. </w:t>
      </w:r>
    </w:p>
    <w:p w:rsidR="00271891" w:rsidRPr="005675B7" w:rsidRDefault="00271891" w:rsidP="002718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675B7">
        <w:rPr>
          <w:rFonts w:ascii="Times New Roman" w:hAnsi="Times New Roman"/>
          <w:color w:val="000000" w:themeColor="text1"/>
          <w:sz w:val="23"/>
          <w:szCs w:val="23"/>
        </w:rPr>
        <w:t>Diagnostic test was performed to show the quality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 of match between the insured and uninsured household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, and their suitability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for the </w:t>
      </w:r>
      <w:r w:rsidRPr="00224C04">
        <w:rPr>
          <w:rFonts w:ascii="Times New Roman" w:hAnsi="Times New Roman"/>
          <w:color w:val="000000" w:themeColor="text1"/>
          <w:sz w:val="24"/>
          <w:szCs w:val="24"/>
        </w:rPr>
        <w:t>study.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 The propensity score </w:t>
      </w:r>
      <w:r>
        <w:rPr>
          <w:rFonts w:ascii="Times New Roman" w:hAnsi="Times New Roman"/>
          <w:color w:val="000000" w:themeColor="text1"/>
          <w:sz w:val="24"/>
          <w:szCs w:val="24"/>
        </w:rPr>
        <w:t>from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2798">
        <w:rPr>
          <w:rFonts w:ascii="Times New Roman" w:hAnsi="Times New Roman"/>
          <w:color w:val="000000" w:themeColor="text1"/>
          <w:sz w:val="24"/>
          <w:szCs w:val="24"/>
        </w:rPr>
        <w:t>logit</w:t>
      </w:r>
      <w:proofErr w:type="spellEnd"/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regression at</w:t>
      </w:r>
      <w:r w:rsidRPr="00862798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DSMT4" ShapeID="_x0000_i1025" DrawAspect="Content" ObjectID="_1597192026" r:id="rId7"/>
        </w:objec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/≤/0.05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was used 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to predict the probability of HI participation</w:t>
      </w:r>
      <w:r>
        <w:rPr>
          <w:rFonts w:ascii="Times New Roman" w:hAnsi="Times New Roman"/>
          <w:color w:val="000000" w:themeColor="text1"/>
          <w:sz w:val="24"/>
          <w:szCs w:val="24"/>
        </w:rPr>
        <w:t>, while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propensity score matching estimator was used to determine the direct and spillover effects of health insurance.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271891" w:rsidRDefault="00271891" w:rsidP="00271891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1891" w:rsidRDefault="00271891" w:rsidP="00271891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The average age of the respondents was 43 years; about 69% were married; 76% and 50% of the family heads had post-secondary education and were government employees respectively. The reduction in the </w:t>
      </w:r>
      <w:r>
        <w:rPr>
          <w:rFonts w:ascii="Times New Roman" w:hAnsi="Times New Roman"/>
          <w:color w:val="000000" w:themeColor="text1"/>
          <w:sz w:val="24"/>
          <w:szCs w:val="24"/>
        </w:rPr>
        <w:t>value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of Pseudo-R</w:t>
      </w:r>
      <w:r w:rsidRPr="00862798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2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and Mean bias from 0.17 to 0.01 and from 72.4 to 17.9 respectively show</w:t>
      </w:r>
      <w:r>
        <w:rPr>
          <w:rFonts w:ascii="Times New Roman" w:hAnsi="Times New Roman"/>
          <w:color w:val="000000" w:themeColor="text1"/>
          <w:sz w:val="24"/>
          <w:szCs w:val="24"/>
        </w:rPr>
        <w:t>ed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high quality of match between the two groups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this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underlined 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their suitability for the study. The propensity score matching coefficient for medical consumption </w:t>
      </w:r>
      <w:r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 xml:space="preserve"> 0.07</w:t>
      </w:r>
      <w:r>
        <w:rPr>
          <w:rFonts w:ascii="Times New Roman" w:hAnsi="Times New Roman"/>
          <w:color w:val="000000" w:themeColor="text1"/>
          <w:sz w:val="24"/>
          <w:szCs w:val="24"/>
        </w:rPr>
        <w:t> and positive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 showing that </w:t>
      </w:r>
      <w:r w:rsidRPr="00661AD1">
        <w:rPr>
          <w:rFonts w:ascii="Times New Roman" w:hAnsi="Times New Roman"/>
          <w:color w:val="000000" w:themeColor="text1"/>
          <w:sz w:val="23"/>
          <w:szCs w:val="23"/>
        </w:rPr>
        <w:t>medical consumption increased with health insurance status. The </w:t>
      </w:r>
    </w:p>
    <w:p w:rsidR="00271891" w:rsidRPr="00862798" w:rsidRDefault="00271891" w:rsidP="00B8173C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661AD1">
        <w:rPr>
          <w:rFonts w:ascii="Times New Roman" w:hAnsi="Times New Roman"/>
          <w:color w:val="000000" w:themeColor="text1"/>
          <w:sz w:val="23"/>
          <w:szCs w:val="23"/>
        </w:rPr>
        <w:t>spillover</w:t>
      </w:r>
      <w:proofErr w:type="gramEnd"/>
      <w:r w:rsidRPr="00661AD1">
        <w:rPr>
          <w:rFonts w:ascii="Times New Roman" w:hAnsi="Times New Roman"/>
          <w:color w:val="000000" w:themeColor="text1"/>
          <w:sz w:val="23"/>
          <w:szCs w:val="23"/>
        </w:rPr>
        <w:t> effect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 of HI was 24,970 and it </w:t>
      </w:r>
      <w:r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 positive (+)</w:t>
      </w:r>
      <w:r w:rsidRPr="00862798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indicating that health insurance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increase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non-medical consumption of the insured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by </w:t>
      </w:r>
      <w:r w:rsidRPr="00C145A4">
        <w:rPr>
          <w:rFonts w:ascii="Times New Roman" w:hAnsi="Times New Roman"/>
          <w:strike/>
          <w:color w:val="000000" w:themeColor="text1"/>
          <w:sz w:val="24"/>
          <w:szCs w:val="24"/>
        </w:rPr>
        <w:t>N</w:t>
      </w:r>
      <w:r w:rsidRPr="00862798">
        <w:rPr>
          <w:rFonts w:ascii="Times New Roman" w:hAnsi="Times New Roman"/>
          <w:color w:val="000000" w:themeColor="text1"/>
          <w:sz w:val="24"/>
          <w:szCs w:val="24"/>
        </w:rPr>
        <w:t>24,970 in the period of illness.</w:t>
      </w:r>
      <w:r w:rsidRPr="008627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71891" w:rsidRPr="00862798" w:rsidRDefault="00361A71" w:rsidP="006F5D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This implies that </w:t>
      </w:r>
      <w:r w:rsidRPr="007F4A6B">
        <w:rPr>
          <w:rFonts w:ascii="Times New Roman" w:hAnsi="Times New Roman"/>
          <w:color w:val="000000" w:themeColor="text1"/>
          <w:sz w:val="24"/>
          <w:szCs w:val="24"/>
        </w:rPr>
        <w:t>health </w:t>
      </w:r>
      <w:r w:rsidR="00271891" w:rsidRPr="007F4A6B">
        <w:rPr>
          <w:rFonts w:ascii="Times New Roman" w:hAnsi="Times New Roman"/>
          <w:color w:val="000000" w:themeColor="text1"/>
          <w:sz w:val="24"/>
          <w:szCs w:val="24"/>
        </w:rPr>
        <w:t>insurance increased the overall consumption of the insured households in the State.</w:t>
      </w:r>
    </w:p>
    <w:p w:rsidR="00271891" w:rsidRPr="00862798" w:rsidRDefault="00271891" w:rsidP="0027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71891" w:rsidRPr="00862798" w:rsidRDefault="00271891" w:rsidP="0027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862798">
        <w:rPr>
          <w:rFonts w:ascii="Times New Roman" w:hAnsi="Times New Roman"/>
          <w:b/>
          <w:color w:val="000000" w:themeColor="text1"/>
          <w:sz w:val="24"/>
        </w:rPr>
        <w:t xml:space="preserve">Keywords: </w:t>
      </w:r>
      <w:r w:rsidRPr="00862798">
        <w:rPr>
          <w:rFonts w:ascii="Times New Roman" w:hAnsi="Times New Roman"/>
          <w:color w:val="000000" w:themeColor="text1"/>
          <w:sz w:val="24"/>
        </w:rPr>
        <w:t xml:space="preserve">Direct effect, Spillover effect, Propensity Score Matching, Consumption patterns, </w:t>
      </w:r>
    </w:p>
    <w:p w:rsidR="00271891" w:rsidRPr="00862798" w:rsidRDefault="00271891" w:rsidP="00271891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703122" w:rsidRDefault="00703122"/>
    <w:sectPr w:rsidR="00703122" w:rsidSect="00EF4CB3">
      <w:pgSz w:w="12240" w:h="15840"/>
      <w:pgMar w:top="73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91"/>
    <w:rsid w:val="000D0BF3"/>
    <w:rsid w:val="00271891"/>
    <w:rsid w:val="00281505"/>
    <w:rsid w:val="002A03B0"/>
    <w:rsid w:val="00361A71"/>
    <w:rsid w:val="00553C52"/>
    <w:rsid w:val="006D775B"/>
    <w:rsid w:val="006F5D27"/>
    <w:rsid w:val="00703122"/>
    <w:rsid w:val="008B6932"/>
    <w:rsid w:val="00962185"/>
    <w:rsid w:val="00B8173C"/>
    <w:rsid w:val="00C53B42"/>
    <w:rsid w:val="00E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franceadeyemi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2018-08-31T02:00:00Z</dcterms:created>
  <dcterms:modified xsi:type="dcterms:W3CDTF">2018-08-31T02:39:00Z</dcterms:modified>
</cp:coreProperties>
</file>