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4" w:rsidRDefault="00DE4DD4" w:rsidP="00DE4DD4">
      <w:pPr>
        <w:spacing w:before="100" w:beforeAutospacing="1" w:after="100" w:afterAutospacing="1" w:line="240" w:lineRule="auto"/>
        <w:rPr>
          <w:rFonts w:ascii="Times New Roman" w:eastAsia="Times New Roman" w:hAnsi="Times New Roman"/>
          <w:b/>
          <w:bCs/>
          <w:sz w:val="28"/>
          <w:szCs w:val="28"/>
          <w:shd w:val="clear" w:color="auto" w:fill="FFFFFF"/>
          <w:lang w:eastAsia="en-GB"/>
        </w:rPr>
      </w:pPr>
      <w:r w:rsidRPr="00A54917">
        <w:rPr>
          <w:rFonts w:ascii="Times New Roman" w:eastAsia="Times New Roman" w:hAnsi="Times New Roman"/>
          <w:b/>
          <w:bCs/>
          <w:sz w:val="28"/>
          <w:szCs w:val="28"/>
          <w:lang w:eastAsia="en-GB"/>
        </w:rPr>
        <w:t xml:space="preserve">The short-term and long-term cost-effectiveness of </w:t>
      </w:r>
      <w:r w:rsidRPr="00A54917">
        <w:rPr>
          <w:rFonts w:ascii="Times New Roman" w:eastAsia="Times New Roman" w:hAnsi="Times New Roman"/>
          <w:b/>
          <w:color w:val="000000"/>
          <w:sz w:val="28"/>
          <w:szCs w:val="28"/>
          <w:lang w:eastAsia="en-GB"/>
        </w:rPr>
        <w:t>an augmented exercise referral scheme</w:t>
      </w:r>
      <w:r w:rsidRPr="00A54917">
        <w:rPr>
          <w:rFonts w:ascii="Times New Roman" w:eastAsia="Times New Roman" w:hAnsi="Times New Roman"/>
          <w:b/>
          <w:bCs/>
          <w:sz w:val="28"/>
          <w:szCs w:val="28"/>
          <w:lang w:eastAsia="en-GB"/>
        </w:rPr>
        <w:t>: </w:t>
      </w:r>
      <w:r w:rsidRPr="00A54917">
        <w:rPr>
          <w:rFonts w:ascii="Times New Roman" w:eastAsia="Times New Roman" w:hAnsi="Times New Roman"/>
          <w:b/>
          <w:bCs/>
          <w:sz w:val="28"/>
          <w:szCs w:val="28"/>
          <w:shd w:val="clear" w:color="auto" w:fill="FFFFFF"/>
          <w:lang w:eastAsia="en-GB"/>
        </w:rPr>
        <w:t>A within-trial analysis and beyond-trial modelling</w:t>
      </w:r>
    </w:p>
    <w:p w:rsidR="00DE4DD4" w:rsidRDefault="00DE4DD4" w:rsidP="00DE4DD4">
      <w:pPr>
        <w:spacing w:before="100" w:beforeAutospacing="1" w:after="100" w:afterAutospacing="1" w:line="240" w:lineRule="auto"/>
        <w:rPr>
          <w:rFonts w:ascii="Times New Roman" w:eastAsia="Times New Roman" w:hAnsi="Times New Roman"/>
          <w:b/>
          <w:bCs/>
          <w:sz w:val="28"/>
          <w:szCs w:val="28"/>
          <w:shd w:val="clear" w:color="auto" w:fill="FFFFFF"/>
          <w:lang w:eastAsia="en-GB"/>
        </w:rPr>
      </w:pPr>
      <w:r w:rsidRPr="00A54917">
        <w:rPr>
          <w:rFonts w:ascii="Times New Roman" w:eastAsia="Times New Roman" w:hAnsi="Times New Roman"/>
          <w:bCs/>
          <w:sz w:val="24"/>
          <w:szCs w:val="24"/>
          <w:shd w:val="clear" w:color="auto" w:fill="FFFFFF"/>
          <w:lang w:eastAsia="en-GB"/>
        </w:rPr>
        <w:t>A</w:t>
      </w:r>
      <w:bookmarkStart w:id="0" w:name="_GoBack"/>
      <w:bookmarkEnd w:id="0"/>
      <w:r w:rsidRPr="00A54917">
        <w:rPr>
          <w:rFonts w:ascii="Times New Roman" w:eastAsia="Times New Roman" w:hAnsi="Times New Roman"/>
          <w:bCs/>
          <w:sz w:val="24"/>
          <w:szCs w:val="24"/>
          <w:shd w:val="clear" w:color="auto" w:fill="FFFFFF"/>
          <w:lang w:eastAsia="en-GB"/>
        </w:rPr>
        <w:t>nokye N</w:t>
      </w:r>
      <w:r w:rsidRPr="00A54917">
        <w:rPr>
          <w:rFonts w:ascii="Times New Roman" w:eastAsia="Times New Roman" w:hAnsi="Times New Roman"/>
          <w:bCs/>
          <w:sz w:val="24"/>
          <w:szCs w:val="24"/>
          <w:shd w:val="clear" w:color="auto" w:fill="FFFFFF"/>
          <w:vertAlign w:val="superscript"/>
          <w:lang w:eastAsia="en-GB"/>
        </w:rPr>
        <w:t>1</w:t>
      </w:r>
      <w:r w:rsidRPr="00A54917">
        <w:rPr>
          <w:rFonts w:ascii="Times New Roman" w:eastAsia="Times New Roman" w:hAnsi="Times New Roman"/>
          <w:bCs/>
          <w:sz w:val="24"/>
          <w:szCs w:val="24"/>
          <w:shd w:val="clear" w:color="auto" w:fill="FFFFFF"/>
          <w:lang w:eastAsia="en-GB"/>
        </w:rPr>
        <w:t>, Ingram W, Taylor RS, Taylor A</w:t>
      </w:r>
      <w:r>
        <w:rPr>
          <w:rFonts w:ascii="Times New Roman" w:eastAsia="Times New Roman" w:hAnsi="Times New Roman"/>
          <w:b/>
          <w:bCs/>
          <w:sz w:val="28"/>
          <w:szCs w:val="28"/>
          <w:shd w:val="clear" w:color="auto" w:fill="FFFFFF"/>
          <w:lang w:eastAsia="en-GB"/>
        </w:rPr>
        <w:t xml:space="preserve"> </w:t>
      </w:r>
      <w:r w:rsidRPr="00A54917">
        <w:rPr>
          <w:rFonts w:ascii="Times New Roman" w:eastAsia="Times New Roman" w:hAnsi="Times New Roman"/>
          <w:bCs/>
          <w:sz w:val="20"/>
          <w:szCs w:val="20"/>
          <w:shd w:val="clear" w:color="auto" w:fill="FFFFFF"/>
          <w:lang w:eastAsia="en-GB"/>
        </w:rPr>
        <w:t>Trial Steering Committee</w:t>
      </w:r>
    </w:p>
    <w:p w:rsidR="00DE4DD4" w:rsidRPr="00DE4DD4" w:rsidRDefault="00DE4DD4" w:rsidP="00DE4DD4">
      <w:pPr>
        <w:spacing w:before="100" w:beforeAutospacing="1" w:after="100" w:afterAutospacing="1" w:line="240" w:lineRule="auto"/>
        <w:rPr>
          <w:rFonts w:ascii="Times New Roman" w:eastAsia="Times New Roman" w:hAnsi="Times New Roman"/>
          <w:color w:val="000000"/>
          <w:sz w:val="20"/>
          <w:szCs w:val="20"/>
          <w:lang w:eastAsia="en-GB"/>
        </w:rPr>
      </w:pPr>
      <w:r w:rsidRPr="00A54917">
        <w:rPr>
          <w:rFonts w:ascii="Times New Roman" w:eastAsia="Times New Roman" w:hAnsi="Times New Roman"/>
          <w:color w:val="000000"/>
          <w:sz w:val="20"/>
          <w:szCs w:val="20"/>
          <w:vertAlign w:val="superscript"/>
          <w:lang w:eastAsia="en-GB"/>
        </w:rPr>
        <w:t>1</w:t>
      </w:r>
      <w:r w:rsidRPr="00A54917">
        <w:rPr>
          <w:rFonts w:ascii="Times New Roman" w:eastAsia="Times New Roman" w:hAnsi="Times New Roman"/>
          <w:color w:val="000000"/>
          <w:sz w:val="20"/>
          <w:szCs w:val="20"/>
          <w:lang w:eastAsia="en-GB"/>
        </w:rPr>
        <w:t>Health Economics Research Group, Department of Clinical Sciences, Brunel University London.</w:t>
      </w:r>
    </w:p>
    <w:p w:rsidR="00DE4DD4" w:rsidRPr="00A54917" w:rsidRDefault="00DE4DD4" w:rsidP="00DE4DD4">
      <w:pPr>
        <w:spacing w:before="100" w:beforeAutospacing="1" w:after="100" w:afterAutospacing="1" w:line="240" w:lineRule="auto"/>
        <w:jc w:val="both"/>
        <w:rPr>
          <w:rFonts w:ascii="Times New Roman" w:eastAsia="Times New Roman" w:hAnsi="Times New Roman"/>
          <w:color w:val="000000"/>
          <w:sz w:val="24"/>
          <w:szCs w:val="24"/>
          <w:lang w:eastAsia="en-GB"/>
        </w:rPr>
      </w:pPr>
      <w:r w:rsidRPr="00A54917">
        <w:rPr>
          <w:rFonts w:ascii="Times New Roman" w:hAnsi="Times New Roman"/>
          <w:sz w:val="24"/>
          <w:szCs w:val="24"/>
          <w:lang w:eastAsia="en-GB"/>
        </w:rPr>
        <w:t>Improving physical activity is a widely-stated policy aim from national to international level. It is therefore important to establish which approaches are effective and efficient at encouraging inactive individuals to become active. This would inform public health policy and practice.</w:t>
      </w:r>
      <w:r w:rsidRPr="00A54917">
        <w:rPr>
          <w:rFonts w:ascii="Times New Roman" w:eastAsia="Times New Roman" w:hAnsi="Times New Roman"/>
          <w:color w:val="000000"/>
          <w:sz w:val="24"/>
          <w:szCs w:val="24"/>
          <w:lang w:eastAsia="en-GB"/>
        </w:rPr>
        <w:t xml:space="preserve"> However, there is paucity of evidence on economic evaluation of physical activity interventions </w:t>
      </w:r>
      <w:r>
        <w:rPr>
          <w:rFonts w:ascii="Times New Roman" w:eastAsia="Times New Roman" w:hAnsi="Times New Roman"/>
          <w:color w:val="000000"/>
          <w:sz w:val="24"/>
          <w:szCs w:val="24"/>
          <w:lang w:eastAsia="en-GB"/>
        </w:rPr>
        <w:t xml:space="preserve">particularly </w:t>
      </w:r>
      <w:r w:rsidRPr="00A54917">
        <w:rPr>
          <w:rFonts w:ascii="Times New Roman" w:eastAsia="Times New Roman" w:hAnsi="Times New Roman"/>
          <w:color w:val="000000"/>
          <w:sz w:val="24"/>
          <w:szCs w:val="24"/>
          <w:lang w:eastAsia="en-GB"/>
        </w:rPr>
        <w:t xml:space="preserve">in low and middle income countries. Building on the methods of a cost-effectiveness analysis of an augmented exercise referral scheme (ERS), the presentation provides recommendations for the </w:t>
      </w:r>
      <w:r>
        <w:rPr>
          <w:rFonts w:ascii="Times New Roman" w:eastAsia="Times New Roman" w:hAnsi="Times New Roman"/>
          <w:color w:val="000000"/>
          <w:sz w:val="24"/>
          <w:szCs w:val="24"/>
          <w:lang w:eastAsia="en-GB"/>
        </w:rPr>
        <w:t xml:space="preserve">health </w:t>
      </w:r>
      <w:r w:rsidRPr="00A54917">
        <w:rPr>
          <w:rFonts w:ascii="Times New Roman" w:eastAsia="Times New Roman" w:hAnsi="Times New Roman"/>
          <w:color w:val="000000"/>
          <w:sz w:val="24"/>
          <w:szCs w:val="24"/>
          <w:lang w:eastAsia="en-GB"/>
        </w:rPr>
        <w:t>economic</w:t>
      </w:r>
      <w:r>
        <w:rPr>
          <w:rFonts w:ascii="Times New Roman" w:eastAsia="Times New Roman" w:hAnsi="Times New Roman"/>
          <w:color w:val="000000"/>
          <w:sz w:val="24"/>
          <w:szCs w:val="24"/>
          <w:lang w:eastAsia="en-GB"/>
        </w:rPr>
        <w:t>s</w:t>
      </w:r>
      <w:r w:rsidRPr="00A54917">
        <w:rPr>
          <w:rFonts w:ascii="Times New Roman" w:eastAsia="Times New Roman" w:hAnsi="Times New Roman"/>
          <w:color w:val="000000"/>
          <w:sz w:val="24"/>
          <w:szCs w:val="24"/>
          <w:lang w:eastAsia="en-GB"/>
        </w:rPr>
        <w:t xml:space="preserve"> research agenda in Africa. </w:t>
      </w:r>
    </w:p>
    <w:p w:rsidR="00DE4DD4" w:rsidRPr="00A54917" w:rsidRDefault="00DE4DD4" w:rsidP="00DE4DD4">
      <w:pPr>
        <w:spacing w:before="100" w:beforeAutospacing="1" w:after="100" w:afterAutospacing="1" w:line="240" w:lineRule="auto"/>
        <w:jc w:val="both"/>
        <w:rPr>
          <w:rFonts w:ascii="Times New Roman" w:eastAsia="Times New Roman" w:hAnsi="Times New Roman"/>
          <w:color w:val="000000"/>
          <w:sz w:val="24"/>
          <w:szCs w:val="24"/>
          <w:lang w:eastAsia="en-GB"/>
        </w:rPr>
      </w:pPr>
      <w:r w:rsidRPr="00A54917">
        <w:rPr>
          <w:rFonts w:ascii="Times New Roman" w:eastAsia="Times New Roman" w:hAnsi="Times New Roman"/>
          <w:color w:val="000000"/>
          <w:sz w:val="24"/>
          <w:szCs w:val="24"/>
          <w:lang w:eastAsia="en-GB"/>
        </w:rPr>
        <w:t xml:space="preserve">A short and long term cost-effectiveness analysis of an augmented exercise referral scheme alongside a trial was undertaken using health care provider, personal social services, and patient perspective. A multicentre parallel two group randomised controlled trial with 1:1 individual allocation to usual ERS alone (control) or augmented exercise referral scheme with web-based behavioural support based on the </w:t>
      </w:r>
      <w:proofErr w:type="spellStart"/>
      <w:r w:rsidRPr="00A54917">
        <w:rPr>
          <w:rFonts w:ascii="Times New Roman" w:eastAsia="Times New Roman" w:hAnsi="Times New Roman"/>
          <w:color w:val="000000"/>
          <w:sz w:val="24"/>
          <w:szCs w:val="24"/>
          <w:lang w:eastAsia="en-GB"/>
        </w:rPr>
        <w:t>LifeGuide</w:t>
      </w:r>
      <w:proofErr w:type="spellEnd"/>
      <w:r w:rsidRPr="00A54917">
        <w:rPr>
          <w:rFonts w:ascii="Times New Roman" w:eastAsia="Times New Roman" w:hAnsi="Times New Roman"/>
          <w:color w:val="000000"/>
          <w:sz w:val="24"/>
          <w:szCs w:val="24"/>
          <w:lang w:eastAsia="en-GB"/>
        </w:rPr>
        <w:t xml:space="preserve"> platform. Participants were inactive people with obesity, diabetes, hypertension, osteoarthritis or history of depression, referred to an ERS from primary care in UK.  </w:t>
      </w:r>
    </w:p>
    <w:p w:rsidR="00DE4DD4" w:rsidRDefault="00DE4DD4" w:rsidP="00DE4DD4">
      <w:pPr>
        <w:spacing w:after="0" w:line="240" w:lineRule="auto"/>
        <w:jc w:val="both"/>
        <w:rPr>
          <w:rFonts w:ascii="Times New Roman" w:eastAsia="MS Mincho" w:hAnsi="Times New Roman"/>
          <w:sz w:val="24"/>
          <w:szCs w:val="24"/>
          <w:lang w:eastAsia="en-GB"/>
        </w:rPr>
      </w:pPr>
      <w:r w:rsidRPr="00A54917">
        <w:rPr>
          <w:rFonts w:ascii="Times New Roman" w:eastAsia="Times New Roman" w:hAnsi="Times New Roman"/>
          <w:color w:val="000000"/>
          <w:sz w:val="24"/>
          <w:szCs w:val="24"/>
          <w:lang w:eastAsia="en-GB"/>
        </w:rPr>
        <w:t>The analyses were two-fold – short term (within-trial) cost-effectiveness analysis (from baseline to 12 months post randomisation) and long term cost-effectiveness analysis (beyond-trial modelling of long term expectations for cost-effectiveness), for augmented exercise referral scheme using web-based behavioural support against standard exercise referral scheme.</w:t>
      </w:r>
      <w:r w:rsidRPr="00A54917">
        <w:rPr>
          <w:rFonts w:ascii="Times New Roman" w:hAnsi="Times New Roman"/>
          <w:sz w:val="24"/>
          <w:szCs w:val="24"/>
          <w:lang w:eastAsia="en-GB"/>
        </w:rPr>
        <w:t xml:space="preserve"> Deterministic and probabilistic</w:t>
      </w:r>
      <w:r w:rsidRPr="00A54917">
        <w:rPr>
          <w:rFonts w:ascii="Times New Roman" w:eastAsia="MS Mincho" w:hAnsi="Times New Roman"/>
          <w:sz w:val="24"/>
          <w:szCs w:val="24"/>
          <w:lang w:eastAsia="en-GB"/>
        </w:rPr>
        <w:t xml:space="preserve"> sensitivity analyses evaluate uncertainty.</w:t>
      </w:r>
    </w:p>
    <w:p w:rsidR="00DE4DD4" w:rsidRPr="00A54917" w:rsidRDefault="00DE4DD4" w:rsidP="00DE4DD4">
      <w:pPr>
        <w:spacing w:after="0" w:line="240" w:lineRule="auto"/>
        <w:jc w:val="both"/>
        <w:rPr>
          <w:rFonts w:ascii="Times New Roman" w:eastAsia="MS Mincho" w:hAnsi="Times New Roman"/>
          <w:sz w:val="24"/>
          <w:szCs w:val="24"/>
          <w:lang w:eastAsia="en-GB"/>
        </w:rPr>
      </w:pPr>
    </w:p>
    <w:p w:rsidR="00DE4DD4" w:rsidRPr="00A54917" w:rsidRDefault="00DE4DD4" w:rsidP="00DE4DD4">
      <w:pPr>
        <w:spacing w:after="0" w:line="240" w:lineRule="auto"/>
        <w:jc w:val="both"/>
        <w:rPr>
          <w:rFonts w:ascii="Times New Roman" w:eastAsia="MS Mincho" w:hAnsi="Times New Roman"/>
          <w:sz w:val="24"/>
          <w:szCs w:val="24"/>
          <w:lang w:eastAsia="en-GB"/>
        </w:rPr>
      </w:pPr>
      <w:r w:rsidRPr="00A54917">
        <w:rPr>
          <w:rFonts w:ascii="Times New Roman" w:eastAsia="Times New Roman" w:hAnsi="Times New Roman"/>
          <w:color w:val="000000"/>
          <w:sz w:val="24"/>
          <w:szCs w:val="24"/>
          <w:lang w:eastAsia="en-GB"/>
        </w:rPr>
        <w:t xml:space="preserve">The main outcome of the economic analysis is an incremental cost per Quality-Adjusted Life-Year (QALY - based on EQ5D5L). The short term cost-effectiveness analysis uses resource use data for development of training for </w:t>
      </w:r>
      <w:proofErr w:type="spellStart"/>
      <w:r w:rsidRPr="00A54917">
        <w:rPr>
          <w:rFonts w:ascii="Times New Roman" w:eastAsia="Times New Roman" w:hAnsi="Times New Roman"/>
          <w:color w:val="000000"/>
          <w:sz w:val="24"/>
          <w:szCs w:val="24"/>
          <w:lang w:eastAsia="en-GB"/>
        </w:rPr>
        <w:t>LifeGuide</w:t>
      </w:r>
      <w:proofErr w:type="spellEnd"/>
      <w:r w:rsidRPr="00A54917">
        <w:rPr>
          <w:rFonts w:ascii="Times New Roman" w:eastAsia="Times New Roman" w:hAnsi="Times New Roman"/>
          <w:color w:val="000000"/>
          <w:sz w:val="24"/>
          <w:szCs w:val="24"/>
          <w:lang w:eastAsia="en-GB"/>
        </w:rPr>
        <w:t xml:space="preserve"> coach, and technician; web and exercise support (e.g. duration and frequency) provided by technician; </w:t>
      </w:r>
      <w:proofErr w:type="spellStart"/>
      <w:r w:rsidRPr="00A54917">
        <w:rPr>
          <w:rFonts w:ascii="Times New Roman" w:eastAsia="Times New Roman" w:hAnsi="Times New Roman"/>
          <w:color w:val="000000"/>
          <w:sz w:val="24"/>
          <w:szCs w:val="24"/>
          <w:lang w:eastAsia="en-GB"/>
        </w:rPr>
        <w:t>LifeGuide</w:t>
      </w:r>
      <w:proofErr w:type="spellEnd"/>
      <w:r w:rsidRPr="00A54917">
        <w:rPr>
          <w:rFonts w:ascii="Times New Roman" w:eastAsia="Times New Roman" w:hAnsi="Times New Roman"/>
          <w:color w:val="000000"/>
          <w:sz w:val="24"/>
          <w:szCs w:val="24"/>
          <w:lang w:eastAsia="en-GB"/>
        </w:rPr>
        <w:t xml:space="preserve"> coach and health professionals respectively; provision and running of the exercise sessions at leisure centres; and health and personal social service use. The long-term cost effectiveness is based on an existing policy relevant decision analytical model (has informed 3 public health guidelines in UK). The analysis account for the impact of physical activity on lifetime risk of developing coronary heart disease, stroke, and type II diabetes. The discussion highlights the considerations for adapting the economic model to analyse the value for money of physical activity programmes in Africa.</w:t>
      </w:r>
    </w:p>
    <w:p w:rsidR="00DE4DD4" w:rsidRPr="00A54917" w:rsidRDefault="00DE4DD4" w:rsidP="00DE4DD4">
      <w:pPr>
        <w:spacing w:after="240" w:line="260" w:lineRule="atLeast"/>
        <w:jc w:val="both"/>
        <w:rPr>
          <w:sz w:val="24"/>
          <w:szCs w:val="24"/>
        </w:rPr>
      </w:pPr>
    </w:p>
    <w:p w:rsidR="00FB0981" w:rsidRDefault="00FB0981"/>
    <w:sectPr w:rsidR="00FB0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D4"/>
    <w:rsid w:val="00DE4DD4"/>
    <w:rsid w:val="00FB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E673"/>
  <w15:chartTrackingRefBased/>
  <w15:docId w15:val="{7C5AAE54-A1DE-442A-9718-819F504F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Anokye</dc:creator>
  <cp:keywords/>
  <dc:description/>
  <cp:lastModifiedBy>Nana Anokye</cp:lastModifiedBy>
  <cp:revision>1</cp:revision>
  <dcterms:created xsi:type="dcterms:W3CDTF">2018-10-10T09:37:00Z</dcterms:created>
  <dcterms:modified xsi:type="dcterms:W3CDTF">2018-10-10T09:38:00Z</dcterms:modified>
</cp:coreProperties>
</file>