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1B02" w14:textId="08E1F524" w:rsidR="00A3751E" w:rsidRPr="00C15E19" w:rsidRDefault="00A3751E" w:rsidP="00C15E19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Estimating the </w:t>
      </w:r>
      <w:r w:rsidR="00BF07E4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direct </w:t>
      </w:r>
      <w:r w:rsidR="002F3C15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medical </w:t>
      </w: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cost</w:t>
      </w:r>
      <w:r w:rsidR="00BF07E4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Helicobacter pylori eradication therapy </w:t>
      </w:r>
      <w:r w:rsidR="004A711D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for</w:t>
      </w: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4A711D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outpatient primary care in </w:t>
      </w: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Cameroon: implications</w:t>
      </w:r>
      <w:r w:rsidR="004A711D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for </w:t>
      </w:r>
      <w:r w:rsidR="00967AEE"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quality care and universal health coverage</w:t>
      </w:r>
    </w:p>
    <w:p w14:paraId="6A0BDAD6" w14:textId="75228B5A" w:rsidR="0084721E" w:rsidRPr="00C15E19" w:rsidRDefault="0084721E" w:rsidP="00C15E19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Jeannine </w:t>
      </w:r>
      <w:proofErr w:type="spellStart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Aminde</w:t>
      </w:r>
      <w:proofErr w:type="spellEnd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Leopold </w:t>
      </w:r>
      <w:proofErr w:type="spellStart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Aminde</w:t>
      </w:r>
      <w:proofErr w:type="spellEnd"/>
    </w:p>
    <w:p w14:paraId="72DED646" w14:textId="0ABB9740" w:rsidR="008D44EA" w:rsidRPr="00C15E19" w:rsidRDefault="008D44EA" w:rsidP="00C15E19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Abstract</w:t>
      </w:r>
    </w:p>
    <w:p w14:paraId="69CF3988" w14:textId="1C281511" w:rsidR="008D44EA" w:rsidRPr="00C15E19" w:rsidRDefault="008D44EA" w:rsidP="00C15E19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Background: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Almost half the world’s population is infected with Helicobacter pylori (</w:t>
      </w:r>
      <w:r w:rsidRPr="00C15E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H. pylori)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the highest reported prevalence from Africa. This infection is associated with several morbid gastrointestinal conditions</w:t>
      </w:r>
      <w:r w:rsidR="00EF3DF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F3DF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5876F1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="00FD1085" w:rsidRPr="00C15E19">
        <w:rPr>
          <w:rFonts w:ascii="Times New Roman" w:eastAsia="Calibri" w:hAnsi="Times New Roman" w:cs="Times New Roman"/>
          <w:sz w:val="24"/>
          <w:szCs w:val="24"/>
        </w:rPr>
        <w:t xml:space="preserve"> World Gastroenterology Organization (WGO) recommends testing for dyspeptic persons and the treatment of positive cases</w:t>
      </w:r>
      <w:r w:rsidR="008B6BEF" w:rsidRPr="00C15E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Despite the </w:t>
      </w:r>
      <w:r w:rsidR="00C34F0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 </w:t>
      </w:r>
      <w:r w:rsidR="008B6BEF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prevalence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C34F0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related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burden of th</w:t>
      </w:r>
      <w:r w:rsidR="0084721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D5132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infection</w:t>
      </w:r>
      <w:r w:rsidR="00C34F0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cost of treatment </w:t>
      </w:r>
      <w:r w:rsidR="00C34F0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patients with dyspepsia in primary care setting</w:t>
      </w:r>
      <w:r w:rsidR="00E5240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Cameroon is unknown. </w:t>
      </w:r>
    </w:p>
    <w:p w14:paraId="4DDF0B38" w14:textId="279E81ED" w:rsidR="008D44EA" w:rsidRPr="00C15E19" w:rsidRDefault="008D44EA" w:rsidP="00C15E19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Methods: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was a retrospective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review of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outpatient records </w:t>
      </w:r>
      <w:r w:rsidR="00AA2D74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from </w:t>
      </w:r>
      <w:r w:rsidR="00AA2D74" w:rsidRPr="00C15E19">
        <w:rPr>
          <w:rFonts w:ascii="Times New Roman" w:eastAsia="Calibri" w:hAnsi="Times New Roman" w:cs="Times New Roman"/>
          <w:sz w:val="24"/>
          <w:szCs w:val="24"/>
        </w:rPr>
        <w:t xml:space="preserve">January 2012 to December 2016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A2D74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Wum</w:t>
      </w:r>
      <w:proofErr w:type="spellEnd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District Hospital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AA2D74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Northwest region of </w:t>
      </w:r>
      <w:r w:rsidR="00950776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Cameroon</w:t>
      </w:r>
      <w:r w:rsidRPr="00C15E19">
        <w:rPr>
          <w:rFonts w:ascii="Times New Roman" w:eastAsia="Calibri" w:hAnsi="Times New Roman" w:cs="Times New Roman"/>
          <w:sz w:val="24"/>
          <w:szCs w:val="24"/>
        </w:rPr>
        <w:t xml:space="preserve">. We reviewed records of all patients for </w:t>
      </w:r>
      <w:r w:rsidR="002A181E" w:rsidRPr="00C15E19">
        <w:rPr>
          <w:rFonts w:ascii="Times New Roman" w:eastAsia="Calibri" w:hAnsi="Times New Roman" w:cs="Times New Roman"/>
          <w:sz w:val="24"/>
          <w:szCs w:val="24"/>
        </w:rPr>
        <w:t xml:space="preserve">whom </w:t>
      </w:r>
      <w:r w:rsidR="002A181E" w:rsidRPr="00C15E19">
        <w:rPr>
          <w:rFonts w:ascii="Times New Roman" w:eastAsia="Calibri" w:hAnsi="Times New Roman" w:cs="Times New Roman"/>
          <w:i/>
          <w:sz w:val="24"/>
          <w:szCs w:val="24"/>
        </w:rPr>
        <w:t>H.</w:t>
      </w:r>
      <w:r w:rsidRPr="00C15E19">
        <w:rPr>
          <w:rFonts w:ascii="Times New Roman" w:eastAsia="Calibri" w:hAnsi="Times New Roman" w:cs="Times New Roman"/>
          <w:i/>
          <w:sz w:val="24"/>
          <w:szCs w:val="24"/>
        </w:rPr>
        <w:t xml:space="preserve"> pylori</w:t>
      </w:r>
      <w:r w:rsidRPr="00C15E19">
        <w:rPr>
          <w:rFonts w:ascii="Times New Roman" w:eastAsia="Calibri" w:hAnsi="Times New Roman" w:cs="Times New Roman"/>
          <w:sz w:val="24"/>
          <w:szCs w:val="24"/>
        </w:rPr>
        <w:t xml:space="preserve"> serology test was requested.</w:t>
      </w:r>
      <w:r w:rsidR="00950776" w:rsidRPr="00C15E19">
        <w:rPr>
          <w:rFonts w:ascii="Times New Roman" w:eastAsia="Calibri" w:hAnsi="Times New Roman" w:cs="Times New Roman"/>
          <w:sz w:val="24"/>
          <w:szCs w:val="24"/>
        </w:rPr>
        <w:t xml:space="preserve"> Cost of </w:t>
      </w:r>
      <w:r w:rsidR="00B820DE" w:rsidRPr="00C15E19">
        <w:rPr>
          <w:rFonts w:ascii="Times New Roman" w:eastAsia="Calibri" w:hAnsi="Times New Roman" w:cs="Times New Roman"/>
          <w:sz w:val="24"/>
          <w:szCs w:val="24"/>
        </w:rPr>
        <w:t>illness</w:t>
      </w:r>
      <w:r w:rsidR="00950776" w:rsidRPr="00C15E19">
        <w:rPr>
          <w:rFonts w:ascii="Times New Roman" w:eastAsia="Calibri" w:hAnsi="Times New Roman" w:cs="Times New Roman"/>
          <w:sz w:val="24"/>
          <w:szCs w:val="24"/>
        </w:rPr>
        <w:t xml:space="preserve"> was estimated from the patient’s perspective based on hospital stipulated charges.</w:t>
      </w:r>
    </w:p>
    <w:p w14:paraId="2D12B072" w14:textId="68BB8EF4" w:rsidR="005D7C3C" w:rsidRPr="00C15E19" w:rsidRDefault="008D44EA" w:rsidP="00C15E1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Results: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included 451 </w:t>
      </w:r>
      <w:r w:rsidR="009366E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patients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, 63.6% (n = 287) female</w:t>
      </w:r>
      <w:r w:rsidR="009A1B40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366E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mean age was 40.7 </w:t>
      </w:r>
      <w:proofErr w:type="spellStart"/>
      <w:proofErr w:type="gramStart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years</w:t>
      </w:r>
      <w:r w:rsidR="009366E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8D5EB3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verall</w:t>
      </w:r>
      <w:proofErr w:type="spellEnd"/>
      <w:proofErr w:type="gramEnd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15E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H. pylori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seroprevalence was 51.5% (95%CI: 47% – 56%). The </w:t>
      </w:r>
      <w:r w:rsidR="005D7C3C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most used eradication regimen was; </w:t>
      </w:r>
      <w:r w:rsidR="00E5240E" w:rsidRPr="00C15E19">
        <w:rPr>
          <w:rFonts w:ascii="Times New Roman" w:eastAsia="Times New Roman" w:hAnsi="Times New Roman" w:cs="Times New Roman"/>
          <w:sz w:val="24"/>
          <w:szCs w:val="24"/>
          <w:lang w:val="en-US"/>
        </w:rPr>
        <w:t>omeprazole</w:t>
      </w:r>
      <w:r w:rsidR="002A181E" w:rsidRPr="00C1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+ amoxicillin + metronidazole (</w:t>
      </w:r>
      <w:r w:rsidR="004852E2" w:rsidRPr="00C15E19">
        <w:rPr>
          <w:rFonts w:ascii="Times New Roman" w:eastAsia="Times New Roman" w:hAnsi="Times New Roman" w:cs="Times New Roman"/>
          <w:sz w:val="24"/>
          <w:szCs w:val="24"/>
        </w:rPr>
        <w:t>53.9% of seropositive</w:t>
      </w:r>
      <w:r w:rsidR="009A1B40" w:rsidRPr="00C15E19">
        <w:rPr>
          <w:rFonts w:ascii="Times New Roman" w:eastAsia="Times New Roman" w:hAnsi="Times New Roman" w:cs="Times New Roman"/>
          <w:sz w:val="24"/>
          <w:szCs w:val="24"/>
        </w:rPr>
        <w:t xml:space="preserve"> persons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A181E" w:rsidRPr="00C15E19">
        <w:rPr>
          <w:rFonts w:ascii="Times New Roman" w:eastAsia="Times New Roman" w:hAnsi="Times New Roman" w:cs="Times New Roman"/>
          <w:sz w:val="24"/>
          <w:szCs w:val="24"/>
        </w:rPr>
        <w:t>. The u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 of first line clarithromycin-based </w:t>
      </w:r>
      <w:r w:rsidR="009A1B40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therapy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D7C3C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was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low</w:t>
      </w:r>
      <w:r w:rsidR="0093350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</w:t>
      </w:r>
      <w:r w:rsidR="004852E2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8.5</w:t>
      </w:r>
      <w:r w:rsidR="0093350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%)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declining</w:t>
      </w:r>
      <w:r w:rsidR="00E5240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across the years. </w:t>
      </w:r>
      <w:r w:rsidR="00A40F60" w:rsidRPr="00C15E19">
        <w:rPr>
          <w:rFonts w:ascii="Times New Roman" w:eastAsia="Times New Roman" w:hAnsi="Times New Roman" w:cs="Times New Roman"/>
          <w:sz w:val="24"/>
          <w:szCs w:val="24"/>
        </w:rPr>
        <w:t>The mean c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ost of eradication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5AA" w:rsidRPr="00C15E19">
        <w:rPr>
          <w:rFonts w:ascii="Times New Roman" w:eastAsia="Times New Roman" w:hAnsi="Times New Roman" w:cs="Times New Roman"/>
          <w:sz w:val="24"/>
          <w:szCs w:val="24"/>
        </w:rPr>
        <w:t xml:space="preserve">therapy 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>was 11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577" w:rsidRPr="00C15E19">
        <w:rPr>
          <w:rFonts w:ascii="Times New Roman" w:eastAsia="Times New Roman" w:hAnsi="Times New Roman" w:cs="Times New Roman"/>
          <w:sz w:val="24"/>
          <w:szCs w:val="24"/>
        </w:rPr>
        <w:t>415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 xml:space="preserve"> ± 5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11577" w:rsidRPr="00C15E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 xml:space="preserve"> FCFA; 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83738E" w:rsidRPr="00C15E19">
        <w:rPr>
          <w:rFonts w:ascii="Times New Roman" w:eastAsia="Times New Roman" w:hAnsi="Times New Roman" w:cs="Times New Roman"/>
          <w:sz w:val="24"/>
          <w:szCs w:val="24"/>
        </w:rPr>
        <w:t>ranged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9A1B40" w:rsidRPr="00C1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FCFA</w:t>
      </w:r>
      <w:r w:rsidR="005876F1" w:rsidRPr="00C1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240E" w:rsidRPr="00C15E19">
        <w:rPr>
          <w:rFonts w:ascii="Times New Roman" w:eastAsia="Times New Roman" w:hAnsi="Times New Roman" w:cs="Times New Roman"/>
          <w:sz w:val="24"/>
          <w:szCs w:val="24"/>
        </w:rPr>
        <w:t xml:space="preserve">for omeprazole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+ amoxicillin + metronidazole</w:t>
      </w:r>
      <w:r w:rsidR="005876F1" w:rsidRPr="00C15E19">
        <w:rPr>
          <w:rFonts w:ascii="Times New Roman" w:eastAsia="Times New Roman" w:hAnsi="Times New Roman" w:cs="Times New Roman"/>
          <w:sz w:val="24"/>
          <w:szCs w:val="24"/>
        </w:rPr>
        <w:t xml:space="preserve"> therapy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) to 21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A1B40" w:rsidRPr="00C15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FCFA (</w:t>
      </w:r>
      <w:r w:rsidR="005876F1" w:rsidRPr="00C15E1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 xml:space="preserve">clarithromycin triple therapy). The average </w:t>
      </w:r>
      <w:r w:rsidR="00E5240E" w:rsidRPr="00C15E19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 xml:space="preserve">cost of </w:t>
      </w:r>
      <w:r w:rsidR="009A1B40" w:rsidRPr="00C15E19">
        <w:rPr>
          <w:rFonts w:ascii="Times New Roman" w:eastAsia="Times New Roman" w:hAnsi="Times New Roman" w:cs="Times New Roman"/>
          <w:sz w:val="24"/>
          <w:szCs w:val="24"/>
        </w:rPr>
        <w:t>treatment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 xml:space="preserve"> for dyspeptic outpatients was 8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504" w:rsidRPr="00C15E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>7 ± 4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 xml:space="preserve"> FCFA</w:t>
      </w:r>
      <w:r w:rsidR="00610F7F" w:rsidRPr="00C15E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08FC" w:rsidRPr="00C15E19">
        <w:rPr>
          <w:rFonts w:ascii="Times New Roman" w:eastAsia="Times New Roman" w:hAnsi="Times New Roman" w:cs="Times New Roman"/>
          <w:sz w:val="24"/>
          <w:szCs w:val="24"/>
        </w:rPr>
        <w:t>(range: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0908FC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 xml:space="preserve">900 </w:t>
      </w:r>
      <w:r w:rsidR="000908FC" w:rsidRPr="00C15E1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0908FC" w:rsidRPr="00C15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7BBF" w:rsidRPr="00C15E19">
        <w:rPr>
          <w:rFonts w:ascii="Times New Roman" w:eastAsia="Times New Roman" w:hAnsi="Times New Roman" w:cs="Times New Roman"/>
          <w:sz w:val="24"/>
          <w:szCs w:val="24"/>
        </w:rPr>
        <w:t>510 FCFA</w:t>
      </w:r>
      <w:r w:rsidR="000908FC" w:rsidRPr="00C15E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7C3C" w:rsidRPr="00C15E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6EDD4" w14:textId="50A7955D" w:rsidR="008D44EA" w:rsidRPr="00C15E19" w:rsidRDefault="008D44EA" w:rsidP="00C15E19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Conclusion: </w:t>
      </w:r>
      <w:r w:rsidR="00B81C8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4E065B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ur study shows that o</w:t>
      </w:r>
      <w:r w:rsidR="00B81C8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 in every </w:t>
      </w:r>
      <w:proofErr w:type="gramStart"/>
      <w:r w:rsidR="00B81C8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two dyspeptic</w:t>
      </w:r>
      <w:proofErr w:type="gramEnd"/>
      <w:r w:rsidR="00B81C8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people have </w:t>
      </w:r>
      <w:r w:rsidR="00B81C88" w:rsidRPr="00C15E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H. pylori</w:t>
      </w:r>
      <w:r w:rsidR="00B81C8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infection. </w:t>
      </w:r>
      <w:r w:rsidR="00F02BCA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Well o</w:t>
      </w:r>
      <w:r w:rsidR="00052DCD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ver </w:t>
      </w:r>
      <w:r w:rsidR="00302505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third </w:t>
      </w:r>
      <w:r w:rsidR="00AB0B24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of Cameroonian</w:t>
      </w:r>
      <w:r w:rsidR="00302505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504E4D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live</w:t>
      </w:r>
      <w:r w:rsidR="00AB0B24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below the national poverty line</w:t>
      </w:r>
      <w:r w:rsidR="00C75DF8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(44.</w:t>
      </w:r>
      <w:r w:rsidR="00020C21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8% below the lower </w:t>
      </w:r>
      <w:proofErr w:type="gramStart"/>
      <w:r w:rsidR="00020C21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middle income</w:t>
      </w:r>
      <w:proofErr w:type="gramEnd"/>
      <w:r w:rsidR="00020C21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class poverty line)</w:t>
      </w:r>
      <w:r w:rsidR="00F264BB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</w:t>
      </w:r>
      <w:r w:rsidR="00AE340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average cost of outpatient treatment for </w:t>
      </w:r>
      <w:r w:rsidR="00AE3407" w:rsidRPr="00C15E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H. pylori</w:t>
      </w:r>
      <w:r w:rsidR="00AE340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infection </w:t>
      </w:r>
      <w:r w:rsidR="00504E4D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in primary care</w:t>
      </w:r>
      <w:r w:rsidR="00AE340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519B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accounts for</w:t>
      </w:r>
      <w:r w:rsidR="00504E4D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third of</w:t>
      </w:r>
      <w:r w:rsidR="00F264BB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minimum wage </w:t>
      </w:r>
      <w:r w:rsidR="00504E4D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Cameroon 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264BB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36,270 FCFA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  <w:r w:rsidR="00D57A15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In the absence of universal health coverage, t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 has significant implications for </w:t>
      </w:r>
      <w:r w:rsidR="00C267C3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Cameroon,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267C3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healthcare costs are </w:t>
      </w:r>
      <w:r w:rsidR="000A6632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reliant on</w:t>
      </w:r>
      <w:r w:rsidR="00F86549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out-of-pocket</w:t>
      </w:r>
      <w:r w:rsidR="000A6632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payments</w:t>
      </w:r>
      <w:r w:rsidR="005519B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potential to exert catastrophic health expenditure</w:t>
      </w:r>
      <w:r w:rsidR="00BB1B53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 broader perspectives</w:t>
      </w:r>
      <w:r w:rsidR="006F3B2F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hospitalization and </w:t>
      </w:r>
      <w:r w:rsidR="007E796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disease complication</w:t>
      </w:r>
      <w:r w:rsidR="006F3B2F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E7967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costs </w:t>
      </w:r>
      <w:r w:rsidR="006F3B2F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="00A3751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taken into </w:t>
      </w:r>
      <w:r w:rsidR="006F3B2F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account.</w:t>
      </w:r>
    </w:p>
    <w:p w14:paraId="7FFB0A4A" w14:textId="4819E8FA" w:rsidR="00557FF7" w:rsidRPr="00C15E19" w:rsidRDefault="008D44EA" w:rsidP="00C15E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1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Key words: 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Helicobacter pylori, seroprevalence, </w:t>
      </w:r>
      <w:r w:rsidR="0084721E"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cost</w:t>
      </w:r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, prima</w:t>
      </w:r>
      <w:bookmarkStart w:id="0" w:name="_GoBack"/>
      <w:bookmarkEnd w:id="0"/>
      <w:r w:rsidRPr="00C15E19">
        <w:rPr>
          <w:rFonts w:ascii="Times New Roman" w:eastAsia="Calibri" w:hAnsi="Times New Roman" w:cs="Times New Roman"/>
          <w:sz w:val="24"/>
          <w:szCs w:val="24"/>
          <w:lang w:val="en-US"/>
        </w:rPr>
        <w:t>ry care, Cameroon</w:t>
      </w:r>
    </w:p>
    <w:sectPr w:rsidR="00557FF7" w:rsidRPr="00C1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01"/>
    <w:rsid w:val="00020C21"/>
    <w:rsid w:val="00052DCD"/>
    <w:rsid w:val="000908FC"/>
    <w:rsid w:val="000A6632"/>
    <w:rsid w:val="000B7BBF"/>
    <w:rsid w:val="001806CA"/>
    <w:rsid w:val="001A067E"/>
    <w:rsid w:val="001F638C"/>
    <w:rsid w:val="00271481"/>
    <w:rsid w:val="002A181E"/>
    <w:rsid w:val="002F3C15"/>
    <w:rsid w:val="00302505"/>
    <w:rsid w:val="00397043"/>
    <w:rsid w:val="003B781F"/>
    <w:rsid w:val="004852E2"/>
    <w:rsid w:val="00486E15"/>
    <w:rsid w:val="004A711D"/>
    <w:rsid w:val="004C7D0F"/>
    <w:rsid w:val="004E065B"/>
    <w:rsid w:val="004F03FF"/>
    <w:rsid w:val="00504E4D"/>
    <w:rsid w:val="005519B7"/>
    <w:rsid w:val="00557FF7"/>
    <w:rsid w:val="005876F1"/>
    <w:rsid w:val="005D7C3C"/>
    <w:rsid w:val="00610F7F"/>
    <w:rsid w:val="006F3B2F"/>
    <w:rsid w:val="00731EFA"/>
    <w:rsid w:val="00774504"/>
    <w:rsid w:val="007E7967"/>
    <w:rsid w:val="0083738E"/>
    <w:rsid w:val="0084721E"/>
    <w:rsid w:val="008B6BEF"/>
    <w:rsid w:val="008D44EA"/>
    <w:rsid w:val="008D5EB3"/>
    <w:rsid w:val="0093350E"/>
    <w:rsid w:val="009366E7"/>
    <w:rsid w:val="00950776"/>
    <w:rsid w:val="00967AEE"/>
    <w:rsid w:val="009A1B40"/>
    <w:rsid w:val="00A3751E"/>
    <w:rsid w:val="00A40F60"/>
    <w:rsid w:val="00A515AA"/>
    <w:rsid w:val="00AA2D74"/>
    <w:rsid w:val="00AB0B24"/>
    <w:rsid w:val="00AB230C"/>
    <w:rsid w:val="00AD5EDF"/>
    <w:rsid w:val="00AE3407"/>
    <w:rsid w:val="00B0431C"/>
    <w:rsid w:val="00B11577"/>
    <w:rsid w:val="00B81C88"/>
    <w:rsid w:val="00B820DE"/>
    <w:rsid w:val="00B913A4"/>
    <w:rsid w:val="00BB1B53"/>
    <w:rsid w:val="00BF07E4"/>
    <w:rsid w:val="00C07CE1"/>
    <w:rsid w:val="00C1160B"/>
    <w:rsid w:val="00C15E19"/>
    <w:rsid w:val="00C267C3"/>
    <w:rsid w:val="00C34F09"/>
    <w:rsid w:val="00C54D01"/>
    <w:rsid w:val="00C75DF8"/>
    <w:rsid w:val="00D57A15"/>
    <w:rsid w:val="00DC0AE2"/>
    <w:rsid w:val="00DD5132"/>
    <w:rsid w:val="00E5240E"/>
    <w:rsid w:val="00EF3DF7"/>
    <w:rsid w:val="00F02BCA"/>
    <w:rsid w:val="00F264BB"/>
    <w:rsid w:val="00F86549"/>
    <w:rsid w:val="00F86A18"/>
    <w:rsid w:val="00FA616A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642F"/>
  <w15:chartTrackingRefBased/>
  <w15:docId w15:val="{E88CB899-1640-436B-BA2C-81B44F9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2018-10-26T23:46:00Z</dcterms:created>
  <dcterms:modified xsi:type="dcterms:W3CDTF">2018-10-26T23:47:00Z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id="TUTsghH1"/&gt;&lt;style id="http://www.zotero.org/styles/sage-vancouver-brackets" hasBibliography="1" bibliographyStyleHasBeenSet="0"/&gt;&lt;prefs&gt;&lt;pref name="fieldType" value="Field"/&gt;&lt;pref name="storeR</vt:lpwstr>
  </property>
  <property fmtid="{D5CDD505-2E9C-101B-9397-08002B2CF9AE}" pid="3" name="ZOTERO_PREF_2">
    <vt:lpwstr>eferences" value="true"/&gt;&lt;pref name="automaticJournalAbbreviations" value="true"/&gt;&lt;pref name="noteType" value=""/&gt;&lt;/prefs&gt;&lt;/data&gt;</vt:lpwstr>
  </property>
</Properties>
</file>