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B9" w:rsidRDefault="00F36AB4" w:rsidP="004443B9">
      <w:pPr>
        <w:spacing w:after="0" w:line="336" w:lineRule="auto"/>
        <w:jc w:val="center"/>
        <w:rPr>
          <w:rFonts w:ascii="Times New Roman" w:hAnsi="Times New Roman" w:cs="Times New Roman"/>
          <w:b/>
          <w:sz w:val="24"/>
          <w:szCs w:val="38"/>
        </w:rPr>
      </w:pPr>
      <w:r w:rsidRPr="00F36AB4">
        <w:rPr>
          <w:rFonts w:ascii="Times New Roman" w:hAnsi="Times New Roman" w:cs="Times New Roman"/>
          <w:sz w:val="24"/>
          <w:szCs w:val="38"/>
        </w:rPr>
        <w:t>THEME</w:t>
      </w:r>
      <w:r>
        <w:rPr>
          <w:rFonts w:ascii="Times New Roman" w:hAnsi="Times New Roman" w:cs="Times New Roman"/>
          <w:b/>
          <w:sz w:val="24"/>
          <w:szCs w:val="38"/>
        </w:rPr>
        <w:t> :</w:t>
      </w:r>
      <w:r w:rsidRPr="00F36AB4">
        <w:rPr>
          <w:rFonts w:ascii="Times New Roman" w:hAnsi="Times New Roman" w:cs="Times New Roman"/>
          <w:sz w:val="24"/>
          <w:szCs w:val="38"/>
        </w:rPr>
        <w:t xml:space="preserve"> «</w:t>
      </w:r>
      <w:r>
        <w:rPr>
          <w:rFonts w:ascii="Times New Roman" w:hAnsi="Times New Roman" w:cs="Times New Roman"/>
          <w:b/>
          <w:sz w:val="24"/>
          <w:szCs w:val="38"/>
        </w:rPr>
        <w:t> </w:t>
      </w:r>
      <w:r w:rsidR="004443B9" w:rsidRPr="00F36AB4">
        <w:rPr>
          <w:rFonts w:ascii="Times New Roman" w:hAnsi="Times New Roman" w:cs="Times New Roman"/>
          <w:sz w:val="24"/>
          <w:szCs w:val="38"/>
        </w:rPr>
        <w:t>ABANDON DU TRAITEMENT ANTIRÉTROVIRAL : UNE ANALYSE EMPIRIQUE DES DÉTERMINANTS</w:t>
      </w:r>
      <w:r w:rsidRPr="00F36AB4">
        <w:rPr>
          <w:rFonts w:ascii="Times New Roman" w:hAnsi="Times New Roman" w:cs="Times New Roman"/>
          <w:sz w:val="24"/>
          <w:szCs w:val="38"/>
        </w:rPr>
        <w:t> »</w:t>
      </w:r>
    </w:p>
    <w:p w:rsidR="004443B9" w:rsidRDefault="004443B9" w:rsidP="004443B9">
      <w:pPr>
        <w:spacing w:after="0" w:line="336" w:lineRule="auto"/>
        <w:jc w:val="center"/>
        <w:rPr>
          <w:rFonts w:ascii="Times New Roman" w:hAnsi="Times New Roman" w:cs="Times New Roman"/>
          <w:b/>
          <w:sz w:val="24"/>
          <w:szCs w:val="38"/>
        </w:rPr>
      </w:pPr>
    </w:p>
    <w:p w:rsidR="00806025" w:rsidRDefault="00806025" w:rsidP="00E75F46">
      <w:pPr>
        <w:spacing w:after="0" w:line="336" w:lineRule="auto"/>
        <w:rPr>
          <w:rFonts w:ascii="Times New Roman" w:hAnsi="Times New Roman" w:cs="Times New Roman"/>
          <w:sz w:val="24"/>
          <w:szCs w:val="38"/>
        </w:rPr>
      </w:pPr>
    </w:p>
    <w:p w:rsidR="00806025" w:rsidRDefault="00806025" w:rsidP="00E75F46">
      <w:pPr>
        <w:spacing w:after="0" w:line="336" w:lineRule="auto"/>
        <w:rPr>
          <w:rFonts w:ascii="Times New Roman" w:hAnsi="Times New Roman" w:cs="Times New Roman"/>
          <w:sz w:val="24"/>
          <w:szCs w:val="38"/>
        </w:rPr>
      </w:pPr>
    </w:p>
    <w:p w:rsidR="004443B9" w:rsidRPr="00E75F46" w:rsidRDefault="004443B9" w:rsidP="00E75F46">
      <w:pPr>
        <w:spacing w:after="0" w:line="336" w:lineRule="auto"/>
        <w:rPr>
          <w:rFonts w:ascii="Times New Roman" w:hAnsi="Times New Roman" w:cs="Times New Roman"/>
          <w:sz w:val="24"/>
          <w:szCs w:val="38"/>
        </w:rPr>
      </w:pPr>
      <w:r w:rsidRPr="00E75F46">
        <w:rPr>
          <w:rFonts w:ascii="Times New Roman" w:hAnsi="Times New Roman" w:cs="Times New Roman"/>
          <w:sz w:val="24"/>
          <w:szCs w:val="38"/>
        </w:rPr>
        <w:t xml:space="preserve">KOUASSI </w:t>
      </w:r>
      <w:proofErr w:type="spellStart"/>
      <w:r w:rsidRPr="00E75F46">
        <w:rPr>
          <w:rFonts w:ascii="Times New Roman" w:hAnsi="Times New Roman" w:cs="Times New Roman"/>
          <w:sz w:val="24"/>
          <w:szCs w:val="38"/>
        </w:rPr>
        <w:t>Kouassi</w:t>
      </w:r>
      <w:proofErr w:type="spellEnd"/>
      <w:r w:rsidRPr="00E75F46">
        <w:rPr>
          <w:rFonts w:ascii="Times New Roman" w:hAnsi="Times New Roman" w:cs="Times New Roman"/>
          <w:sz w:val="24"/>
          <w:szCs w:val="38"/>
        </w:rPr>
        <w:t xml:space="preserve"> Jean Hugues</w:t>
      </w:r>
    </w:p>
    <w:p w:rsidR="004443B9" w:rsidRPr="00E75F46" w:rsidRDefault="004443B9" w:rsidP="00E75F46">
      <w:pPr>
        <w:spacing w:after="0" w:line="336" w:lineRule="auto"/>
        <w:rPr>
          <w:rFonts w:ascii="Times New Roman" w:hAnsi="Times New Roman" w:cs="Times New Roman"/>
          <w:sz w:val="24"/>
          <w:szCs w:val="38"/>
        </w:rPr>
      </w:pPr>
      <w:r w:rsidRPr="00E75F46">
        <w:rPr>
          <w:rFonts w:ascii="Times New Roman" w:hAnsi="Times New Roman" w:cs="Times New Roman"/>
          <w:sz w:val="24"/>
          <w:szCs w:val="38"/>
        </w:rPr>
        <w:t>Doctorant, Université Alassane Ouattara, Bouaké, Côte d’Ivoire</w:t>
      </w:r>
    </w:p>
    <w:p w:rsidR="004443B9" w:rsidRPr="00E75F46" w:rsidRDefault="00E75F46" w:rsidP="00E75F46">
      <w:pPr>
        <w:spacing w:after="0" w:line="336" w:lineRule="auto"/>
        <w:rPr>
          <w:rFonts w:ascii="Times New Roman" w:hAnsi="Times New Roman" w:cs="Times New Roman"/>
          <w:sz w:val="24"/>
          <w:szCs w:val="38"/>
        </w:rPr>
      </w:pPr>
      <w:r w:rsidRPr="00E75F46">
        <w:rPr>
          <w:rFonts w:ascii="Times New Roman" w:hAnsi="Times New Roman" w:cs="Times New Roman"/>
          <w:sz w:val="24"/>
          <w:szCs w:val="38"/>
        </w:rPr>
        <w:t>BP 510 Cidex 03 Tél : +22508846273</w:t>
      </w:r>
    </w:p>
    <w:p w:rsidR="00E75F46" w:rsidRPr="00E75F46" w:rsidRDefault="00E75F46" w:rsidP="00E75F46">
      <w:pPr>
        <w:spacing w:after="0" w:line="336" w:lineRule="auto"/>
        <w:rPr>
          <w:rFonts w:ascii="Times New Roman" w:hAnsi="Times New Roman" w:cs="Times New Roman"/>
          <w:sz w:val="24"/>
          <w:szCs w:val="38"/>
        </w:rPr>
      </w:pPr>
      <w:r w:rsidRPr="00E75F46">
        <w:rPr>
          <w:rFonts w:ascii="Times New Roman" w:hAnsi="Times New Roman" w:cs="Times New Roman"/>
          <w:sz w:val="24"/>
          <w:szCs w:val="38"/>
        </w:rPr>
        <w:t>Kouassi.jeanhugues@aiesec.net</w:t>
      </w:r>
    </w:p>
    <w:p w:rsidR="00FF77D6" w:rsidRDefault="00FF77D6" w:rsidP="00FF77D6"/>
    <w:p w:rsidR="00E75F46" w:rsidRDefault="00E75F46" w:rsidP="00FF77D6"/>
    <w:p w:rsidR="00FF77D6" w:rsidRPr="0041175C" w:rsidRDefault="00FF77D6" w:rsidP="00FF77D6">
      <w:pPr>
        <w:autoSpaceDE w:val="0"/>
        <w:autoSpaceDN w:val="0"/>
        <w:adjustRightInd w:val="0"/>
        <w:spacing w:after="0" w:line="360" w:lineRule="auto"/>
        <w:jc w:val="both"/>
        <w:rPr>
          <w:rFonts w:ascii="Times New Roman" w:hAnsi="Times New Roman" w:cs="Times New Roman"/>
          <w:color w:val="171D1D"/>
          <w:sz w:val="24"/>
          <w:szCs w:val="24"/>
        </w:rPr>
      </w:pPr>
      <w:r w:rsidRPr="0041175C">
        <w:rPr>
          <w:rFonts w:ascii="Times New Roman" w:hAnsi="Times New Roman" w:cs="Times New Roman"/>
          <w:color w:val="171D1D"/>
          <w:sz w:val="24"/>
          <w:szCs w:val="24"/>
        </w:rPr>
        <w:t xml:space="preserve">Le VIH/sida </w:t>
      </w:r>
      <w:r w:rsidRPr="0041175C">
        <w:rPr>
          <w:rFonts w:ascii="Times New Roman" w:hAnsi="Times New Roman" w:cs="Times New Roman"/>
          <w:color w:val="282D30"/>
          <w:sz w:val="24"/>
          <w:szCs w:val="24"/>
        </w:rPr>
        <w:t xml:space="preserve">est une </w:t>
      </w:r>
      <w:r w:rsidRPr="0041175C">
        <w:rPr>
          <w:rFonts w:ascii="Times New Roman" w:hAnsi="Times New Roman" w:cs="Times New Roman"/>
          <w:color w:val="171D1D"/>
          <w:sz w:val="24"/>
          <w:szCs w:val="24"/>
        </w:rPr>
        <w:t xml:space="preserve">pandémie mortelle qui </w:t>
      </w:r>
      <w:r w:rsidRPr="0041175C">
        <w:rPr>
          <w:rFonts w:ascii="Times New Roman" w:hAnsi="Times New Roman" w:cs="Times New Roman"/>
          <w:color w:val="282D30"/>
          <w:sz w:val="24"/>
          <w:szCs w:val="24"/>
        </w:rPr>
        <w:t xml:space="preserve">a </w:t>
      </w:r>
      <w:r w:rsidRPr="0041175C">
        <w:rPr>
          <w:rFonts w:ascii="Times New Roman" w:hAnsi="Times New Roman" w:cs="Times New Roman"/>
          <w:color w:val="171D1D"/>
          <w:sz w:val="24"/>
          <w:szCs w:val="24"/>
        </w:rPr>
        <w:t xml:space="preserve">coûté la </w:t>
      </w:r>
      <w:r w:rsidRPr="0041175C">
        <w:rPr>
          <w:rFonts w:ascii="Times New Roman" w:hAnsi="Times New Roman" w:cs="Times New Roman"/>
          <w:color w:val="282D30"/>
          <w:sz w:val="24"/>
          <w:szCs w:val="24"/>
        </w:rPr>
        <w:t xml:space="preserve">vie à </w:t>
      </w:r>
      <w:r w:rsidRPr="0041175C">
        <w:rPr>
          <w:rFonts w:ascii="Times New Roman" w:hAnsi="Times New Roman" w:cs="Times New Roman"/>
          <w:color w:val="171D1D"/>
          <w:sz w:val="24"/>
          <w:szCs w:val="24"/>
        </w:rPr>
        <w:t>plusieurs millions de personnes dans le monde, en Afrique et en Côte d’Ivoire</w:t>
      </w:r>
      <w:r w:rsidRPr="0041175C">
        <w:rPr>
          <w:rFonts w:ascii="Times New Roman" w:hAnsi="Times New Roman" w:cs="Times New Roman"/>
          <w:color w:val="282D30"/>
          <w:sz w:val="24"/>
          <w:szCs w:val="24"/>
        </w:rPr>
        <w:t xml:space="preserve">. </w:t>
      </w:r>
      <w:r w:rsidRPr="0041175C">
        <w:rPr>
          <w:rFonts w:ascii="Times New Roman" w:hAnsi="Times New Roman" w:cs="Times New Roman"/>
          <w:color w:val="171D1D"/>
          <w:sz w:val="24"/>
          <w:szCs w:val="24"/>
        </w:rPr>
        <w:t xml:space="preserve">L'impact </w:t>
      </w:r>
      <w:r w:rsidRPr="0041175C">
        <w:rPr>
          <w:rFonts w:ascii="Times New Roman" w:hAnsi="Times New Roman" w:cs="Times New Roman"/>
          <w:color w:val="282D30"/>
          <w:sz w:val="24"/>
          <w:szCs w:val="24"/>
        </w:rPr>
        <w:t xml:space="preserve">socioéconomique </w:t>
      </w:r>
      <w:r w:rsidRPr="0041175C">
        <w:rPr>
          <w:rFonts w:ascii="Times New Roman" w:hAnsi="Times New Roman" w:cs="Times New Roman"/>
          <w:color w:val="171D1D"/>
          <w:sz w:val="24"/>
          <w:szCs w:val="24"/>
        </w:rPr>
        <w:t xml:space="preserve">du </w:t>
      </w:r>
      <w:r w:rsidRPr="0041175C">
        <w:rPr>
          <w:rFonts w:ascii="Times New Roman" w:hAnsi="Times New Roman" w:cs="Times New Roman"/>
          <w:color w:val="282D30"/>
          <w:sz w:val="24"/>
          <w:szCs w:val="24"/>
        </w:rPr>
        <w:t>sida et ses conséquences sur</w:t>
      </w:r>
      <w:r w:rsidRPr="0041175C">
        <w:rPr>
          <w:rFonts w:ascii="Times New Roman" w:hAnsi="Times New Roman" w:cs="Times New Roman"/>
          <w:color w:val="171D1D"/>
          <w:sz w:val="24"/>
          <w:szCs w:val="24"/>
        </w:rPr>
        <w:t xml:space="preserve"> les individus</w:t>
      </w:r>
      <w:r w:rsidRPr="0041175C">
        <w:rPr>
          <w:rFonts w:ascii="Times New Roman" w:hAnsi="Times New Roman" w:cs="Times New Roman"/>
          <w:color w:val="44494C"/>
          <w:sz w:val="24"/>
          <w:szCs w:val="24"/>
        </w:rPr>
        <w:t xml:space="preserve">, </w:t>
      </w:r>
      <w:r w:rsidRPr="0041175C">
        <w:rPr>
          <w:rFonts w:ascii="Times New Roman" w:hAnsi="Times New Roman" w:cs="Times New Roman"/>
          <w:color w:val="171D1D"/>
          <w:sz w:val="24"/>
          <w:szCs w:val="24"/>
        </w:rPr>
        <w:t xml:space="preserve">les familles, les </w:t>
      </w:r>
      <w:r w:rsidRPr="0041175C">
        <w:rPr>
          <w:rFonts w:ascii="Times New Roman" w:hAnsi="Times New Roman" w:cs="Times New Roman"/>
          <w:color w:val="282D30"/>
          <w:sz w:val="24"/>
          <w:szCs w:val="24"/>
        </w:rPr>
        <w:t xml:space="preserve">communautés </w:t>
      </w:r>
      <w:r w:rsidRPr="0041175C">
        <w:rPr>
          <w:rFonts w:ascii="Times New Roman" w:hAnsi="Times New Roman" w:cs="Times New Roman"/>
          <w:color w:val="171D1D"/>
          <w:sz w:val="24"/>
          <w:szCs w:val="24"/>
        </w:rPr>
        <w:t xml:space="preserve">est </w:t>
      </w:r>
      <w:r w:rsidRPr="0041175C">
        <w:rPr>
          <w:rFonts w:ascii="Times New Roman" w:hAnsi="Times New Roman" w:cs="Times New Roman"/>
          <w:color w:val="282D30"/>
          <w:sz w:val="24"/>
          <w:szCs w:val="24"/>
        </w:rPr>
        <w:t xml:space="preserve">sans </w:t>
      </w:r>
      <w:r w:rsidRPr="0041175C">
        <w:rPr>
          <w:rFonts w:ascii="Times New Roman" w:hAnsi="Times New Roman" w:cs="Times New Roman"/>
          <w:color w:val="171D1D"/>
          <w:sz w:val="24"/>
          <w:szCs w:val="24"/>
        </w:rPr>
        <w:t>précédent. Nonobstant les avancées considérables enregistrées dans la lutte contre cette maladie,</w:t>
      </w:r>
      <w:r w:rsidRPr="0041175C">
        <w:rPr>
          <w:rFonts w:ascii="Times New Roman" w:hAnsi="Times New Roman" w:cs="Times New Roman"/>
          <w:color w:val="44494C"/>
          <w:sz w:val="24"/>
          <w:szCs w:val="24"/>
        </w:rPr>
        <w:t xml:space="preserve"> </w:t>
      </w:r>
      <w:r w:rsidRPr="0041175C">
        <w:rPr>
          <w:rFonts w:ascii="Times New Roman" w:hAnsi="Times New Roman" w:cs="Times New Roman"/>
          <w:color w:val="171D1D"/>
          <w:sz w:val="24"/>
          <w:szCs w:val="24"/>
        </w:rPr>
        <w:t xml:space="preserve">il n'existe </w:t>
      </w:r>
      <w:r w:rsidRPr="0041175C">
        <w:rPr>
          <w:rFonts w:ascii="Times New Roman" w:hAnsi="Times New Roman" w:cs="Times New Roman"/>
          <w:color w:val="282D30"/>
          <w:sz w:val="24"/>
          <w:szCs w:val="24"/>
        </w:rPr>
        <w:t xml:space="preserve">aucun vaccin </w:t>
      </w:r>
      <w:r w:rsidRPr="0041175C">
        <w:rPr>
          <w:rFonts w:ascii="Times New Roman" w:hAnsi="Times New Roman" w:cs="Times New Roman"/>
          <w:color w:val="171D1D"/>
          <w:sz w:val="24"/>
          <w:szCs w:val="24"/>
        </w:rPr>
        <w:t xml:space="preserve">ni médicament pour prévenir le VIH </w:t>
      </w:r>
      <w:r w:rsidRPr="0041175C">
        <w:rPr>
          <w:rFonts w:ascii="Times New Roman" w:hAnsi="Times New Roman" w:cs="Times New Roman"/>
          <w:color w:val="282D30"/>
          <w:sz w:val="24"/>
          <w:szCs w:val="24"/>
        </w:rPr>
        <w:t xml:space="preserve">ou </w:t>
      </w:r>
      <w:r w:rsidRPr="0041175C">
        <w:rPr>
          <w:rFonts w:ascii="Times New Roman" w:hAnsi="Times New Roman" w:cs="Times New Roman"/>
          <w:color w:val="171D1D"/>
          <w:sz w:val="24"/>
          <w:szCs w:val="24"/>
        </w:rPr>
        <w:t xml:space="preserve">pour </w:t>
      </w:r>
      <w:r w:rsidRPr="0041175C">
        <w:rPr>
          <w:rFonts w:ascii="Times New Roman" w:hAnsi="Times New Roman" w:cs="Times New Roman"/>
          <w:color w:val="282D30"/>
          <w:sz w:val="24"/>
          <w:szCs w:val="24"/>
        </w:rPr>
        <w:t xml:space="preserve">guérir </w:t>
      </w:r>
      <w:r w:rsidRPr="0041175C">
        <w:rPr>
          <w:rFonts w:ascii="Times New Roman" w:hAnsi="Times New Roman" w:cs="Times New Roman"/>
          <w:color w:val="171D1D"/>
          <w:sz w:val="24"/>
          <w:szCs w:val="24"/>
        </w:rPr>
        <w:t xml:space="preserve">le </w:t>
      </w:r>
      <w:r w:rsidRPr="0041175C">
        <w:rPr>
          <w:rFonts w:ascii="Times New Roman" w:hAnsi="Times New Roman" w:cs="Times New Roman"/>
          <w:color w:val="282D30"/>
          <w:sz w:val="24"/>
          <w:szCs w:val="24"/>
        </w:rPr>
        <w:t>Sida.</w:t>
      </w:r>
    </w:p>
    <w:p w:rsidR="00FF77D6" w:rsidRDefault="00FF77D6" w:rsidP="00FF77D6">
      <w:pPr>
        <w:autoSpaceDE w:val="0"/>
        <w:autoSpaceDN w:val="0"/>
        <w:adjustRightInd w:val="0"/>
        <w:spacing w:after="0" w:line="360" w:lineRule="auto"/>
        <w:ind w:firstLine="709"/>
        <w:jc w:val="both"/>
        <w:rPr>
          <w:rFonts w:ascii="Times New Roman" w:hAnsi="Times New Roman" w:cs="Times New Roman"/>
          <w:color w:val="171D1D"/>
          <w:sz w:val="24"/>
          <w:szCs w:val="24"/>
        </w:rPr>
      </w:pPr>
      <w:r w:rsidRPr="0041175C">
        <w:rPr>
          <w:rFonts w:ascii="Times New Roman" w:hAnsi="Times New Roman" w:cs="Times New Roman"/>
          <w:color w:val="282D30"/>
          <w:sz w:val="24"/>
          <w:szCs w:val="24"/>
        </w:rPr>
        <w:t>Le</w:t>
      </w:r>
      <w:r w:rsidRPr="0041175C">
        <w:rPr>
          <w:rFonts w:ascii="Times New Roman" w:hAnsi="Times New Roman" w:cs="Times New Roman"/>
          <w:color w:val="171D1D"/>
          <w:sz w:val="24"/>
          <w:szCs w:val="24"/>
        </w:rPr>
        <w:t xml:space="preserve"> </w:t>
      </w:r>
      <w:r w:rsidRPr="0041175C">
        <w:rPr>
          <w:rFonts w:ascii="Times New Roman" w:hAnsi="Times New Roman" w:cs="Times New Roman"/>
          <w:color w:val="282D30"/>
          <w:sz w:val="24"/>
          <w:szCs w:val="24"/>
        </w:rPr>
        <w:t xml:space="preserve">seul </w:t>
      </w:r>
      <w:r w:rsidRPr="0041175C">
        <w:rPr>
          <w:rFonts w:ascii="Times New Roman" w:hAnsi="Times New Roman" w:cs="Times New Roman"/>
          <w:color w:val="171D1D"/>
          <w:sz w:val="24"/>
          <w:szCs w:val="24"/>
        </w:rPr>
        <w:t xml:space="preserve">moyen disponible, </w:t>
      </w:r>
      <w:r w:rsidRPr="0041175C">
        <w:rPr>
          <w:rFonts w:ascii="Times New Roman" w:hAnsi="Times New Roman" w:cs="Times New Roman"/>
          <w:color w:val="282D30"/>
          <w:sz w:val="24"/>
          <w:szCs w:val="24"/>
        </w:rPr>
        <w:t xml:space="preserve">au </w:t>
      </w:r>
      <w:r w:rsidRPr="0041175C">
        <w:rPr>
          <w:rFonts w:ascii="Times New Roman" w:hAnsi="Times New Roman" w:cs="Times New Roman"/>
          <w:color w:val="171D1D"/>
          <w:sz w:val="24"/>
          <w:szCs w:val="24"/>
        </w:rPr>
        <w:t>plan médical, pour traiter le VIH/sida</w:t>
      </w:r>
      <w:r w:rsidRPr="0041175C">
        <w:rPr>
          <w:rFonts w:ascii="Times New Roman" w:hAnsi="Times New Roman" w:cs="Times New Roman"/>
          <w:color w:val="44494C"/>
          <w:sz w:val="24"/>
          <w:szCs w:val="24"/>
        </w:rPr>
        <w:t xml:space="preserve">, </w:t>
      </w:r>
      <w:r w:rsidRPr="0041175C">
        <w:rPr>
          <w:rFonts w:ascii="Times New Roman" w:hAnsi="Times New Roman" w:cs="Times New Roman"/>
          <w:color w:val="171D1D"/>
          <w:sz w:val="24"/>
          <w:szCs w:val="24"/>
        </w:rPr>
        <w:t xml:space="preserve">se trouve </w:t>
      </w:r>
      <w:r w:rsidRPr="0041175C">
        <w:rPr>
          <w:rFonts w:ascii="Times New Roman" w:hAnsi="Times New Roman" w:cs="Times New Roman"/>
          <w:color w:val="282D30"/>
          <w:sz w:val="24"/>
          <w:szCs w:val="24"/>
        </w:rPr>
        <w:t xml:space="preserve">être </w:t>
      </w:r>
      <w:r w:rsidRPr="0041175C">
        <w:rPr>
          <w:rFonts w:ascii="Times New Roman" w:hAnsi="Times New Roman" w:cs="Times New Roman"/>
          <w:color w:val="171D1D"/>
          <w:sz w:val="24"/>
          <w:szCs w:val="24"/>
        </w:rPr>
        <w:t>l'utilisation des thérapies antirétrovirales. Ces médicaments</w:t>
      </w:r>
      <w:r w:rsidRPr="0041175C">
        <w:rPr>
          <w:rFonts w:ascii="Times New Roman" w:hAnsi="Times New Roman" w:cs="Times New Roman"/>
          <w:color w:val="282D30"/>
          <w:sz w:val="24"/>
          <w:szCs w:val="24"/>
        </w:rPr>
        <w:t xml:space="preserve">, </w:t>
      </w:r>
      <w:r w:rsidRPr="0041175C">
        <w:rPr>
          <w:rFonts w:ascii="Times New Roman" w:hAnsi="Times New Roman" w:cs="Times New Roman"/>
          <w:color w:val="171D1D"/>
          <w:sz w:val="24"/>
          <w:szCs w:val="24"/>
        </w:rPr>
        <w:t xml:space="preserve">bien qu'ayant des effets </w:t>
      </w:r>
      <w:r w:rsidRPr="0041175C">
        <w:rPr>
          <w:rFonts w:ascii="Times New Roman" w:hAnsi="Times New Roman" w:cs="Times New Roman"/>
          <w:color w:val="282D30"/>
          <w:sz w:val="24"/>
          <w:szCs w:val="24"/>
        </w:rPr>
        <w:t xml:space="preserve">secondaires </w:t>
      </w:r>
      <w:r w:rsidRPr="0041175C">
        <w:rPr>
          <w:rFonts w:ascii="Times New Roman" w:hAnsi="Times New Roman" w:cs="Times New Roman"/>
          <w:color w:val="171D1D"/>
          <w:sz w:val="24"/>
          <w:szCs w:val="24"/>
        </w:rPr>
        <w:t xml:space="preserve">importants, produisent des résultats concluants </w:t>
      </w:r>
      <w:r w:rsidRPr="0041175C">
        <w:rPr>
          <w:rFonts w:ascii="Times New Roman" w:hAnsi="Times New Roman" w:cs="Times New Roman"/>
          <w:color w:val="282D30"/>
          <w:sz w:val="24"/>
          <w:szCs w:val="24"/>
        </w:rPr>
        <w:t>en ce qui concerne</w:t>
      </w:r>
      <w:r w:rsidRPr="0041175C">
        <w:rPr>
          <w:rFonts w:ascii="Times New Roman" w:hAnsi="Times New Roman" w:cs="Times New Roman"/>
          <w:color w:val="171D1D"/>
          <w:sz w:val="24"/>
          <w:szCs w:val="24"/>
        </w:rPr>
        <w:t xml:space="preserve"> la réduction de la </w:t>
      </w:r>
      <w:r w:rsidRPr="0041175C">
        <w:rPr>
          <w:rFonts w:ascii="Times New Roman" w:hAnsi="Times New Roman" w:cs="Times New Roman"/>
          <w:color w:val="282D30"/>
          <w:sz w:val="24"/>
          <w:szCs w:val="24"/>
        </w:rPr>
        <w:t xml:space="preserve">charge virale à </w:t>
      </w:r>
      <w:r w:rsidRPr="0041175C">
        <w:rPr>
          <w:rFonts w:ascii="Times New Roman" w:hAnsi="Times New Roman" w:cs="Times New Roman"/>
          <w:color w:val="171D1D"/>
          <w:sz w:val="24"/>
          <w:szCs w:val="24"/>
        </w:rPr>
        <w:t xml:space="preserve">un </w:t>
      </w:r>
      <w:r w:rsidRPr="0041175C">
        <w:rPr>
          <w:rFonts w:ascii="Times New Roman" w:hAnsi="Times New Roman" w:cs="Times New Roman"/>
          <w:color w:val="282D30"/>
          <w:sz w:val="24"/>
          <w:szCs w:val="24"/>
        </w:rPr>
        <w:t xml:space="preserve">seuil </w:t>
      </w:r>
      <w:r w:rsidRPr="0041175C">
        <w:rPr>
          <w:rFonts w:ascii="Times New Roman" w:hAnsi="Times New Roman" w:cs="Times New Roman"/>
          <w:color w:val="171D1D"/>
          <w:sz w:val="24"/>
          <w:szCs w:val="24"/>
        </w:rPr>
        <w:t xml:space="preserve">indétectable et </w:t>
      </w:r>
      <w:r w:rsidRPr="0041175C">
        <w:rPr>
          <w:rFonts w:ascii="Times New Roman" w:hAnsi="Times New Roman" w:cs="Times New Roman"/>
          <w:color w:val="282D30"/>
          <w:sz w:val="24"/>
          <w:szCs w:val="24"/>
        </w:rPr>
        <w:t>en</w:t>
      </w:r>
      <w:r w:rsidRPr="0041175C">
        <w:rPr>
          <w:rFonts w:ascii="Times New Roman" w:hAnsi="Times New Roman" w:cs="Times New Roman"/>
          <w:color w:val="171D1D"/>
          <w:sz w:val="24"/>
          <w:szCs w:val="24"/>
        </w:rPr>
        <w:t xml:space="preserve"> termes du renforcement du </w:t>
      </w:r>
      <w:r w:rsidRPr="0041175C">
        <w:rPr>
          <w:rFonts w:ascii="Times New Roman" w:hAnsi="Times New Roman" w:cs="Times New Roman"/>
          <w:color w:val="282D30"/>
          <w:sz w:val="24"/>
          <w:szCs w:val="24"/>
        </w:rPr>
        <w:t xml:space="preserve">système </w:t>
      </w:r>
      <w:r w:rsidRPr="0041175C">
        <w:rPr>
          <w:rFonts w:ascii="Times New Roman" w:hAnsi="Times New Roman" w:cs="Times New Roman"/>
          <w:color w:val="171D1D"/>
          <w:sz w:val="24"/>
          <w:szCs w:val="24"/>
        </w:rPr>
        <w:t xml:space="preserve">immunitaire. Ces </w:t>
      </w:r>
      <w:r w:rsidRPr="0041175C">
        <w:rPr>
          <w:rFonts w:ascii="Times New Roman" w:hAnsi="Times New Roman" w:cs="Times New Roman"/>
          <w:color w:val="282D30"/>
          <w:sz w:val="24"/>
          <w:szCs w:val="24"/>
        </w:rPr>
        <w:t xml:space="preserve">ARV améliorent ainsi </w:t>
      </w:r>
      <w:r w:rsidRPr="0041175C">
        <w:rPr>
          <w:rFonts w:ascii="Times New Roman" w:hAnsi="Times New Roman" w:cs="Times New Roman"/>
          <w:color w:val="171D1D"/>
          <w:sz w:val="24"/>
          <w:szCs w:val="24"/>
        </w:rPr>
        <w:t xml:space="preserve">la qualité de </w:t>
      </w:r>
      <w:r w:rsidRPr="0041175C">
        <w:rPr>
          <w:rFonts w:ascii="Times New Roman" w:hAnsi="Times New Roman" w:cs="Times New Roman"/>
          <w:color w:val="282D30"/>
          <w:sz w:val="24"/>
          <w:szCs w:val="24"/>
        </w:rPr>
        <w:t xml:space="preserve">vie </w:t>
      </w:r>
      <w:r w:rsidRPr="0041175C">
        <w:rPr>
          <w:rFonts w:ascii="Times New Roman" w:hAnsi="Times New Roman" w:cs="Times New Roman"/>
          <w:color w:val="171D1D"/>
          <w:sz w:val="24"/>
          <w:szCs w:val="24"/>
        </w:rPr>
        <w:t xml:space="preserve">des malades, renforcent leur </w:t>
      </w:r>
      <w:r w:rsidRPr="0041175C">
        <w:rPr>
          <w:rFonts w:ascii="Times New Roman" w:hAnsi="Times New Roman" w:cs="Times New Roman"/>
          <w:color w:val="282D30"/>
          <w:sz w:val="24"/>
          <w:szCs w:val="24"/>
        </w:rPr>
        <w:t xml:space="preserve">état </w:t>
      </w:r>
      <w:r w:rsidRPr="0041175C">
        <w:rPr>
          <w:rFonts w:ascii="Times New Roman" w:hAnsi="Times New Roman" w:cs="Times New Roman"/>
          <w:color w:val="171D1D"/>
          <w:sz w:val="24"/>
          <w:szCs w:val="24"/>
        </w:rPr>
        <w:t xml:space="preserve">de </w:t>
      </w:r>
      <w:r w:rsidRPr="0041175C">
        <w:rPr>
          <w:rFonts w:ascii="Times New Roman" w:hAnsi="Times New Roman" w:cs="Times New Roman"/>
          <w:color w:val="282D30"/>
          <w:sz w:val="24"/>
          <w:szCs w:val="24"/>
        </w:rPr>
        <w:t>santé</w:t>
      </w:r>
      <w:r w:rsidRPr="0041175C">
        <w:rPr>
          <w:rFonts w:ascii="Times New Roman" w:hAnsi="Times New Roman" w:cs="Times New Roman"/>
          <w:color w:val="44494C"/>
          <w:sz w:val="24"/>
          <w:szCs w:val="24"/>
        </w:rPr>
        <w:t xml:space="preserve">, </w:t>
      </w:r>
      <w:r w:rsidRPr="0041175C">
        <w:rPr>
          <w:rFonts w:ascii="Times New Roman" w:hAnsi="Times New Roman" w:cs="Times New Roman"/>
          <w:color w:val="171D1D"/>
          <w:sz w:val="24"/>
          <w:szCs w:val="24"/>
        </w:rPr>
        <w:t xml:space="preserve">prolongent leur </w:t>
      </w:r>
      <w:r w:rsidRPr="0041175C">
        <w:rPr>
          <w:rFonts w:ascii="Times New Roman" w:hAnsi="Times New Roman" w:cs="Times New Roman"/>
          <w:color w:val="282D30"/>
          <w:sz w:val="24"/>
          <w:szCs w:val="24"/>
        </w:rPr>
        <w:t xml:space="preserve">vie et </w:t>
      </w:r>
      <w:r w:rsidRPr="0041175C">
        <w:rPr>
          <w:rFonts w:ascii="Times New Roman" w:hAnsi="Times New Roman" w:cs="Times New Roman"/>
          <w:color w:val="171D1D"/>
          <w:sz w:val="24"/>
          <w:szCs w:val="24"/>
        </w:rPr>
        <w:t xml:space="preserve">réduisent la mortalité liée au sida. </w:t>
      </w:r>
    </w:p>
    <w:p w:rsidR="00FF77D6" w:rsidRPr="0041175C" w:rsidRDefault="00FF77D6" w:rsidP="00FF77D6">
      <w:pPr>
        <w:autoSpaceDE w:val="0"/>
        <w:autoSpaceDN w:val="0"/>
        <w:adjustRightInd w:val="0"/>
        <w:spacing w:after="0" w:line="360" w:lineRule="auto"/>
        <w:ind w:firstLine="709"/>
        <w:jc w:val="both"/>
        <w:rPr>
          <w:rFonts w:ascii="Times New Roman" w:hAnsi="Times New Roman" w:cs="Times New Roman"/>
          <w:color w:val="44494C"/>
          <w:sz w:val="24"/>
          <w:szCs w:val="24"/>
        </w:rPr>
      </w:pPr>
      <w:r>
        <w:rPr>
          <w:rFonts w:ascii="Times New Roman" w:hAnsi="Times New Roman" w:cs="Times New Roman"/>
          <w:color w:val="171D1D"/>
          <w:sz w:val="24"/>
          <w:szCs w:val="24"/>
        </w:rPr>
        <w:t xml:space="preserve">En vue de rendre ces médicaments disponibles à toutes les couches </w:t>
      </w:r>
      <w:r>
        <w:rPr>
          <w:rFonts w:ascii="Times New Roman" w:hAnsi="Times New Roman" w:cs="Times New Roman"/>
          <w:color w:val="171D1D"/>
          <w:sz w:val="24"/>
          <w:szCs w:val="24"/>
        </w:rPr>
        <w:t>sociales, de</w:t>
      </w:r>
      <w:bookmarkStart w:id="0" w:name="_GoBack"/>
      <w:bookmarkEnd w:id="0"/>
      <w:r>
        <w:rPr>
          <w:rFonts w:ascii="Times New Roman" w:hAnsi="Times New Roman" w:cs="Times New Roman"/>
          <w:color w:val="171D1D"/>
          <w:sz w:val="24"/>
          <w:szCs w:val="24"/>
        </w:rPr>
        <w:t xml:space="preserve"> nombreuses politiques d’incitation ont été mise en place à l’échelle mondiale. Ainsi, les ARV sont disponibles de manière gratuite</w:t>
      </w:r>
      <w:r w:rsidR="005E3CC5">
        <w:rPr>
          <w:rFonts w:ascii="Times New Roman" w:hAnsi="Times New Roman" w:cs="Times New Roman"/>
          <w:color w:val="171D1D"/>
          <w:sz w:val="24"/>
          <w:szCs w:val="24"/>
        </w:rPr>
        <w:t xml:space="preserve"> depuis le début de la décennie 2000. Dans la théorie économique, les incitations visent à stimuler </w:t>
      </w:r>
      <w:r w:rsidR="007B0A0A">
        <w:rPr>
          <w:rFonts w:ascii="Times New Roman" w:hAnsi="Times New Roman" w:cs="Times New Roman"/>
          <w:color w:val="171D1D"/>
          <w:sz w:val="24"/>
          <w:szCs w:val="24"/>
        </w:rPr>
        <w:t>les acteurs à un comportement visé.</w:t>
      </w:r>
      <w:r>
        <w:rPr>
          <w:rFonts w:ascii="Times New Roman" w:hAnsi="Times New Roman" w:cs="Times New Roman"/>
          <w:color w:val="171D1D"/>
          <w:sz w:val="24"/>
          <w:szCs w:val="24"/>
        </w:rPr>
        <w:t xml:space="preserve"> </w:t>
      </w:r>
      <w:r w:rsidRPr="0041175C">
        <w:rPr>
          <w:rFonts w:ascii="Times New Roman" w:hAnsi="Times New Roman" w:cs="Times New Roman"/>
          <w:color w:val="171D1D"/>
          <w:sz w:val="24"/>
          <w:szCs w:val="24"/>
        </w:rPr>
        <w:t xml:space="preserve">Cependant, la logique étant le suivi correct du traitement ARV en vue d’améliorer l’état de santé, l’on fait le constat que plusieurs personnes vivant avec le VIH dans le monde et surtout en Côte d’Ivoire abandonnent leurs traitements antirétroviraux. Ces personnes sont, du point de vue médical, appelées des « perdu de vue ». En 2011, la Côte d’Ivoire comptait 35% de perdus de vue dans ses programmes de lutte contre le VIH. L'abandon des ARV compromet dangereusement le succès thérapeutique, un faible taux d'observance conditionne l'échec du traitement ; il crée des résistances et favorise la réplication virale. De plus, ces personnes abandonnant les soins </w:t>
      </w:r>
      <w:r w:rsidRPr="0041175C">
        <w:rPr>
          <w:rFonts w:ascii="Times New Roman" w:hAnsi="Times New Roman" w:cs="Times New Roman"/>
          <w:color w:val="171D1D"/>
          <w:sz w:val="24"/>
          <w:szCs w:val="24"/>
        </w:rPr>
        <w:lastRenderedPageBreak/>
        <w:t>courent le risque de transmettre un « nouveau » virus plus résistant aux ARV et donc plus difficile à combattre (Kouassi et al., 2014).</w:t>
      </w:r>
      <w:r w:rsidRPr="0041175C">
        <w:rPr>
          <w:rFonts w:ascii="Times New Roman" w:hAnsi="Times New Roman" w:cs="Times New Roman"/>
          <w:color w:val="44494C"/>
          <w:sz w:val="24"/>
          <w:szCs w:val="24"/>
        </w:rPr>
        <w:t xml:space="preserve"> </w:t>
      </w:r>
    </w:p>
    <w:p w:rsidR="00FF77D6" w:rsidRPr="0041175C" w:rsidRDefault="00FF77D6" w:rsidP="00FF77D6">
      <w:pPr>
        <w:autoSpaceDE w:val="0"/>
        <w:autoSpaceDN w:val="0"/>
        <w:adjustRightInd w:val="0"/>
        <w:spacing w:after="0" w:line="360" w:lineRule="auto"/>
        <w:ind w:firstLine="709"/>
        <w:jc w:val="both"/>
        <w:rPr>
          <w:rFonts w:ascii="Times New Roman" w:hAnsi="Times New Roman" w:cs="Times New Roman"/>
          <w:color w:val="1C2222"/>
          <w:sz w:val="24"/>
          <w:szCs w:val="24"/>
        </w:rPr>
      </w:pPr>
      <w:r w:rsidRPr="0041175C">
        <w:rPr>
          <w:rFonts w:ascii="Times New Roman" w:hAnsi="Times New Roman" w:cs="Times New Roman"/>
          <w:color w:val="1C2222"/>
          <w:sz w:val="24"/>
          <w:szCs w:val="24"/>
        </w:rPr>
        <w:t xml:space="preserve">Cette situation constitue une préoccupation des intervenants de la santé et suscite de l'intérêt dans le cadre de la recherche dans plusieurs disciplines dont l’économie, en vue d'explorer les raisons qui poussent ces personnes à abandonner leur traitement. Pour quelles raisons des personnes vivant avec le VIH auxquelles on a prescrit un traitement antirétroviral abandonnent-elles le traitement ? Cette question vise à contribuer à la compréhension du phénomène de l'abandon des soins dans la prise en charge des PVVIH. Nous avons procédé par </w:t>
      </w:r>
      <w:proofErr w:type="gramStart"/>
      <w:r w:rsidRPr="0041175C">
        <w:rPr>
          <w:rFonts w:ascii="Times New Roman" w:hAnsi="Times New Roman" w:cs="Times New Roman"/>
          <w:color w:val="1C2222"/>
          <w:sz w:val="24"/>
          <w:szCs w:val="24"/>
        </w:rPr>
        <w:t>une</w:t>
      </w:r>
      <w:proofErr w:type="gramEnd"/>
      <w:r w:rsidRPr="0041175C">
        <w:rPr>
          <w:rFonts w:ascii="Times New Roman" w:hAnsi="Times New Roman" w:cs="Times New Roman"/>
          <w:color w:val="1C2222"/>
          <w:sz w:val="24"/>
          <w:szCs w:val="24"/>
        </w:rPr>
        <w:t xml:space="preserve"> méthodologie de type statistique descriptive et par une analyse économétrique de régression logistique simple sur des données collectées sur deux-cent-soixante-dix-sept </w:t>
      </w:r>
      <w:r>
        <w:rPr>
          <w:rFonts w:ascii="Times New Roman" w:hAnsi="Times New Roman" w:cs="Times New Roman"/>
          <w:color w:val="1C2222"/>
          <w:sz w:val="24"/>
          <w:szCs w:val="24"/>
        </w:rPr>
        <w:t xml:space="preserve">(277) </w:t>
      </w:r>
      <w:r w:rsidRPr="0041175C">
        <w:rPr>
          <w:rFonts w:ascii="Times New Roman" w:hAnsi="Times New Roman" w:cs="Times New Roman"/>
          <w:color w:val="1C2222"/>
          <w:sz w:val="24"/>
          <w:szCs w:val="24"/>
        </w:rPr>
        <w:t xml:space="preserve">dossiers patients PVVIH au Centre Médico-Social Bethesda, un centre de prise en charge du VIH à Yopougon à Abidjan (Côte d’Ivoire). </w:t>
      </w:r>
    </w:p>
    <w:p w:rsidR="00FF77D6" w:rsidRPr="0041175C" w:rsidRDefault="00FF77D6" w:rsidP="00FF77D6">
      <w:pPr>
        <w:pStyle w:val="Default"/>
        <w:spacing w:line="360" w:lineRule="auto"/>
        <w:ind w:firstLine="709"/>
        <w:jc w:val="both"/>
        <w:rPr>
          <w:rFonts w:ascii="Times New Roman" w:hAnsi="Times New Roman" w:cs="Times New Roman"/>
          <w:lang w:val="fr-CI"/>
        </w:rPr>
      </w:pPr>
      <w:r w:rsidRPr="0041175C">
        <w:rPr>
          <w:rFonts w:ascii="Times New Roman" w:hAnsi="Times New Roman" w:cs="Times New Roman"/>
          <w:color w:val="1C2222"/>
        </w:rPr>
        <w:t>Les résultats de nos analyses révèlent un lien statistique entre l’abandon des ARV et des facteurs sociodémographiques que sont </w:t>
      </w:r>
      <w:r w:rsidRPr="0041175C">
        <w:rPr>
          <w:rFonts w:ascii="Times New Roman" w:hAnsi="Times New Roman" w:cs="Times New Roman"/>
          <w:lang w:val="fr-CI"/>
        </w:rPr>
        <w:t>le sexe lorsque l’individu est un homme, le statut de célibataire, le fait d’être instruit, la durée du traitement, le carré de la durée du traitement, le non-partage du statut sérologique avec un proche et l’usage des médicaments proposés par les praticiens de la médecine traditionnelle. Ainsi, retient-on que comparativement aux femmes, les hommes courent un risque plus élevé d’abandonner les soins. Il existe une relation convexe (relation en forme de « U ») entre le temps mis au traitement et l’abandon des ARV. La probabilité d’abandonner les ARV baisse selon la durée du traitement jusqu’à la cinquième année de traitement. À partir de la cinquième année de traitement, les individus sous ARV manifestent de la lassitude envers la lourdeur et le nombre infini de médicaments à prendre et peuvent faire de mauvaises interprétations sur leur état de santé, toute chose égale par ailleurs, et la probabilité d’abandonner les soins augmente. Le niveau d’instruction des patients a également un lien significatif avec la notion de PDV. Les patients les plus instruits ont tendance à chercher des centres de santé de référence pour infirmer ou confirmer leur statut sérologique et donc abandonnent les services de prise en charge du VIH du Centre Médico-Social Bethesda. À propos du statut matrimonial, l’on retient que les patients célibataires sont plus enclins à abandonner les soins comparativement aux patients vivant dans une relation conjugale. Aussi, les patients qui ont le courage de partager leur statut avec un proche ont-ils une chance plus forte de rester dans le programme des soins antirétroviraux par rapport à ceux qui ne le partagent pas. Enfin, les résultats indiquent que l’usage des médicaments traditionnels a un effet négatif sur le maintien des PVVIH dans les soins antirétroviraux.</w:t>
      </w:r>
    </w:p>
    <w:p w:rsidR="00FF77D6" w:rsidRPr="0041175C" w:rsidRDefault="00FF77D6" w:rsidP="00FF77D6">
      <w:pPr>
        <w:spacing w:line="360" w:lineRule="auto"/>
        <w:jc w:val="both"/>
        <w:rPr>
          <w:rFonts w:ascii="Times New Roman" w:hAnsi="Times New Roman" w:cs="Times New Roman"/>
          <w:sz w:val="24"/>
          <w:szCs w:val="24"/>
        </w:rPr>
      </w:pPr>
      <w:r w:rsidRPr="0041175C">
        <w:rPr>
          <w:rFonts w:ascii="Times New Roman" w:hAnsi="Times New Roman" w:cs="Times New Roman"/>
          <w:color w:val="1C2222"/>
          <w:sz w:val="24"/>
          <w:szCs w:val="24"/>
          <w:lang w:val="fr-CI"/>
        </w:rPr>
        <w:lastRenderedPageBreak/>
        <w:t xml:space="preserve">Ainsi, deux (2) hypothèses de base de cette étude sont confirmées. </w:t>
      </w:r>
      <w:r w:rsidRPr="0041175C">
        <w:rPr>
          <w:rFonts w:ascii="Times New Roman" w:hAnsi="Times New Roman" w:cs="Times New Roman"/>
          <w:sz w:val="24"/>
          <w:szCs w:val="24"/>
          <w:shd w:val="clear" w:color="auto" w:fill="FFFFFF"/>
        </w:rPr>
        <w:t>L’usage des pratiques de la médecine traditionnelle impacte négativement le maintien dans les soins ARV. Également, le non-partage du statut sérologique avec un proche est positivement corrélé à l’abandon du traitement antirétroviral. Toutefois, la première hypothèse est plutôt infirmée. Contrairement à ce que nous pensions, les PVVIH les plus instruites ont une plus forte probabilité de sortir des soins et nous pensons qu’elles seraient des auto-transférées.</w:t>
      </w:r>
      <w:r w:rsidRPr="0041175C">
        <w:rPr>
          <w:rFonts w:ascii="Times New Roman" w:hAnsi="Times New Roman" w:cs="Times New Roman"/>
          <w:sz w:val="24"/>
          <w:szCs w:val="24"/>
        </w:rPr>
        <w:t xml:space="preserve"> </w:t>
      </w:r>
    </w:p>
    <w:p w:rsidR="00FF77D6" w:rsidRPr="0041175C" w:rsidRDefault="00FF77D6" w:rsidP="00FF77D6">
      <w:pPr>
        <w:spacing w:line="360" w:lineRule="auto"/>
        <w:jc w:val="both"/>
        <w:rPr>
          <w:rFonts w:ascii="Times New Roman" w:hAnsi="Times New Roman" w:cs="Times New Roman"/>
          <w:sz w:val="24"/>
          <w:szCs w:val="24"/>
        </w:rPr>
      </w:pPr>
      <w:r w:rsidRPr="0041175C">
        <w:rPr>
          <w:rFonts w:ascii="Times New Roman" w:hAnsi="Times New Roman" w:cs="Times New Roman"/>
          <w:sz w:val="24"/>
          <w:szCs w:val="24"/>
        </w:rPr>
        <w:t>Au vu de ce qui précède, nous suggérons des mesures telles que : l’identification des praticiens de la médecine traditionnelle proposant des remèdes contre le VIH, l’analyse de l’efficacité et de la toxicité rénale et hépatite de ces médicaments et l’intégration de ceux reconnus efficaces dans la lutte contre le VIH. Il s’agira par contre de mener une lutte farouche contre les publicités et autres communications mensongères qui détournent les patients des soins conventionnels contre le VIH. Il faut aussi dématérialiser les dossiers des patients en adoptant des registres numériques et aussi les centraliser en vue d’un meilleur contrôle des mouvements des patients sur tout le territoire national. Ceci permettra d’éviter les erreurs de chiffres liées aux patients autotransférés mais déclarés perdu de vu car non revus dans les centres de santé. En outre, il faudra également sensibiliser autrement sur le VIH. Il s’agira d’une communication à destination des populations et surtout des PVVIH avec pour objectif d’informer sur les avantages liés à l’usage des ARV leur efficacité dans le traitement du VIH. En effet, face aux nombreux effets pervers et à la lenteur d’action des ARV, certains malades trouvent refuge chez les praticiens de la médecine traditionnelle qui vantent leurs produits ; ce fait les éloigne des ARV. Enfin, il faut encourager les patients au partage du statut sérologique ; ceci leur permettra de bénéficier du soutien familial et donc de supporter le poids psychologique de la maladie ; soutien qui s’avère important dans le maintien dans les soins.</w:t>
      </w:r>
    </w:p>
    <w:p w:rsidR="00B354EC" w:rsidRDefault="00B354EC"/>
    <w:sectPr w:rsidR="00B354E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26" w:rsidRDefault="00135326" w:rsidP="00806025">
      <w:pPr>
        <w:spacing w:after="0" w:line="240" w:lineRule="auto"/>
      </w:pPr>
      <w:r>
        <w:separator/>
      </w:r>
    </w:p>
  </w:endnote>
  <w:endnote w:type="continuationSeparator" w:id="0">
    <w:p w:rsidR="00135326" w:rsidRDefault="00135326" w:rsidP="0080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85439"/>
      <w:docPartObj>
        <w:docPartGallery w:val="Page Numbers (Bottom of Page)"/>
        <w:docPartUnique/>
      </w:docPartObj>
    </w:sdtPr>
    <w:sdtContent>
      <w:p w:rsidR="00806025" w:rsidRDefault="00806025">
        <w:pPr>
          <w:pStyle w:val="Pieddepage"/>
          <w:jc w:val="right"/>
        </w:pPr>
        <w:r>
          <w:fldChar w:fldCharType="begin"/>
        </w:r>
        <w:r>
          <w:instrText>PAGE   \* MERGEFORMAT</w:instrText>
        </w:r>
        <w:r>
          <w:fldChar w:fldCharType="separate"/>
        </w:r>
        <w:r>
          <w:t>2</w:t>
        </w:r>
        <w:r>
          <w:fldChar w:fldCharType="end"/>
        </w:r>
      </w:p>
    </w:sdtContent>
  </w:sdt>
  <w:p w:rsidR="00806025" w:rsidRDefault="008060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26" w:rsidRDefault="00135326" w:rsidP="00806025">
      <w:pPr>
        <w:spacing w:after="0" w:line="240" w:lineRule="auto"/>
      </w:pPr>
      <w:r>
        <w:separator/>
      </w:r>
    </w:p>
  </w:footnote>
  <w:footnote w:type="continuationSeparator" w:id="0">
    <w:p w:rsidR="00135326" w:rsidRDefault="00135326" w:rsidP="00806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D6"/>
    <w:rsid w:val="00135326"/>
    <w:rsid w:val="004443B9"/>
    <w:rsid w:val="005E3CC5"/>
    <w:rsid w:val="00682D1D"/>
    <w:rsid w:val="007B0A0A"/>
    <w:rsid w:val="00806025"/>
    <w:rsid w:val="00B354EC"/>
    <w:rsid w:val="00E75F46"/>
    <w:rsid w:val="00F36AB4"/>
    <w:rsid w:val="00FF7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158A"/>
  <w15:chartTrackingRefBased/>
  <w15:docId w15:val="{892ECCD6-8A79-4554-B364-B2490E7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7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F77D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806025"/>
    <w:pPr>
      <w:tabs>
        <w:tab w:val="center" w:pos="4536"/>
        <w:tab w:val="right" w:pos="9072"/>
      </w:tabs>
      <w:spacing w:after="0" w:line="240" w:lineRule="auto"/>
    </w:pPr>
  </w:style>
  <w:style w:type="character" w:customStyle="1" w:styleId="En-tteCar">
    <w:name w:val="En-tête Car"/>
    <w:basedOn w:val="Policepardfaut"/>
    <w:link w:val="En-tte"/>
    <w:uiPriority w:val="99"/>
    <w:rsid w:val="00806025"/>
  </w:style>
  <w:style w:type="paragraph" w:styleId="Pieddepage">
    <w:name w:val="footer"/>
    <w:basedOn w:val="Normal"/>
    <w:link w:val="PieddepageCar"/>
    <w:uiPriority w:val="99"/>
    <w:unhideWhenUsed/>
    <w:rsid w:val="008060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1115</Words>
  <Characters>6135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Mr-HUGONIN</dc:creator>
  <cp:keywords/>
  <dc:description/>
  <cp:lastModifiedBy>Mr-HUGONIN</cp:lastModifiedBy>
  <cp:revision>1</cp:revision>
  <dcterms:created xsi:type="dcterms:W3CDTF">2018-10-29T13:10:00Z</dcterms:created>
  <dcterms:modified xsi:type="dcterms:W3CDTF">2018-10-29T14:10:00Z</dcterms:modified>
</cp:coreProperties>
</file>