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116" w:rsidRDefault="00C36E13">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Co-existence of High Out of Pocket payments for health and free health care in public health facilities</w:t>
      </w:r>
      <w:r w:rsidR="009A6B9B">
        <w:rPr>
          <w:rFonts w:ascii="Times New Roman" w:eastAsia="Times New Roman" w:hAnsi="Times New Roman"/>
          <w:b/>
          <w:color w:val="000000" w:themeColor="text1"/>
          <w:sz w:val="24"/>
          <w:szCs w:val="24"/>
        </w:rPr>
        <w:t xml:space="preserve"> a</w:t>
      </w:r>
      <w:r w:rsidR="00057F20">
        <w:rPr>
          <w:rFonts w:ascii="Times New Roman" w:eastAsia="Times New Roman" w:hAnsi="Times New Roman"/>
          <w:b/>
          <w:color w:val="000000" w:themeColor="text1"/>
          <w:sz w:val="24"/>
          <w:szCs w:val="24"/>
        </w:rPr>
        <w:t xml:space="preserve"> paradox for consolidating primary health care in Mauritius. </w:t>
      </w:r>
      <w:r>
        <w:rPr>
          <w:rFonts w:ascii="Times New Roman" w:eastAsia="Times New Roman" w:hAnsi="Times New Roman"/>
          <w:b/>
          <w:color w:val="000000" w:themeColor="text1"/>
          <w:sz w:val="24"/>
          <w:szCs w:val="24"/>
        </w:rPr>
        <w:t xml:space="preserve"> </w:t>
      </w:r>
    </w:p>
    <w:p w:rsidR="00476BEB" w:rsidRDefault="00476BEB">
      <w:pPr>
        <w:jc w:val="center"/>
        <w:rPr>
          <w:rFonts w:ascii="Times New Roman" w:eastAsia="Times New Roman" w:hAnsi="Times New Roman"/>
          <w:b/>
          <w:color w:val="000000" w:themeColor="text1"/>
          <w:sz w:val="24"/>
          <w:szCs w:val="24"/>
        </w:rPr>
      </w:pPr>
    </w:p>
    <w:p w:rsidR="00E1242D" w:rsidRPr="009E2906" w:rsidRDefault="00A344F6" w:rsidP="00E1242D">
      <w:pPr>
        <w:jc w:val="both"/>
        <w:rPr>
          <w:rFonts w:ascii="Times New Roman" w:eastAsia="Times New Roman" w:hAnsi="Times New Roman"/>
          <w:color w:val="000000" w:themeColor="text1"/>
          <w:sz w:val="24"/>
          <w:szCs w:val="24"/>
        </w:rPr>
      </w:pPr>
      <w:bookmarkStart w:id="0" w:name="_GoBack"/>
      <w:proofErr w:type="spellStart"/>
      <w:r w:rsidRPr="009E2906">
        <w:rPr>
          <w:rFonts w:ascii="Times New Roman" w:eastAsia="Times New Roman" w:hAnsi="Times New Roman"/>
          <w:color w:val="000000" w:themeColor="text1"/>
          <w:sz w:val="24"/>
          <w:szCs w:val="24"/>
        </w:rPr>
        <w:t>Mr</w:t>
      </w:r>
      <w:proofErr w:type="spellEnd"/>
      <w:r w:rsidRPr="009E2906">
        <w:rPr>
          <w:rFonts w:ascii="Times New Roman" w:eastAsia="Times New Roman" w:hAnsi="Times New Roman"/>
          <w:color w:val="000000" w:themeColor="text1"/>
          <w:sz w:val="24"/>
          <w:szCs w:val="24"/>
        </w:rPr>
        <w:t xml:space="preserve"> </w:t>
      </w:r>
      <w:proofErr w:type="spellStart"/>
      <w:r w:rsidR="00476BEB" w:rsidRPr="009E2906">
        <w:rPr>
          <w:rFonts w:ascii="Times New Roman" w:eastAsia="Times New Roman" w:hAnsi="Times New Roman"/>
          <w:color w:val="000000" w:themeColor="text1"/>
          <w:sz w:val="24"/>
          <w:szCs w:val="24"/>
        </w:rPr>
        <w:t>Ajoy</w:t>
      </w:r>
      <w:proofErr w:type="spellEnd"/>
      <w:r w:rsidR="00476BEB" w:rsidRPr="009E2906">
        <w:rPr>
          <w:rFonts w:ascii="Times New Roman" w:eastAsia="Times New Roman" w:hAnsi="Times New Roman"/>
          <w:color w:val="000000" w:themeColor="text1"/>
          <w:sz w:val="24"/>
          <w:szCs w:val="24"/>
        </w:rPr>
        <w:t xml:space="preserve"> </w:t>
      </w:r>
      <w:proofErr w:type="spellStart"/>
      <w:r w:rsidR="00476BEB" w:rsidRPr="009E2906">
        <w:rPr>
          <w:rFonts w:ascii="Times New Roman" w:eastAsia="Times New Roman" w:hAnsi="Times New Roman"/>
          <w:color w:val="000000" w:themeColor="text1"/>
          <w:sz w:val="24"/>
          <w:szCs w:val="24"/>
        </w:rPr>
        <w:t>Nundoochan</w:t>
      </w:r>
      <w:proofErr w:type="spellEnd"/>
      <w:r w:rsidRPr="009E2906">
        <w:rPr>
          <w:rFonts w:ascii="Times New Roman" w:eastAsia="Times New Roman" w:hAnsi="Times New Roman"/>
          <w:color w:val="000000" w:themeColor="text1"/>
          <w:sz w:val="24"/>
          <w:szCs w:val="24"/>
        </w:rPr>
        <w:t xml:space="preserve">, </w:t>
      </w:r>
      <w:bookmarkStart w:id="1" w:name="_Hlk528643280"/>
      <w:r w:rsidRPr="009E2906">
        <w:rPr>
          <w:rFonts w:ascii="Times New Roman" w:eastAsia="Times New Roman" w:hAnsi="Times New Roman"/>
          <w:color w:val="000000" w:themeColor="text1"/>
          <w:sz w:val="24"/>
          <w:szCs w:val="24"/>
        </w:rPr>
        <w:t>World Health Organizatio</w:t>
      </w:r>
      <w:r w:rsidR="00DD66C0" w:rsidRPr="009E2906">
        <w:rPr>
          <w:rFonts w:ascii="Times New Roman" w:eastAsia="Times New Roman" w:hAnsi="Times New Roman"/>
          <w:color w:val="000000" w:themeColor="text1"/>
          <w:sz w:val="24"/>
          <w:szCs w:val="24"/>
        </w:rPr>
        <w:t>n,</w:t>
      </w:r>
      <w:r w:rsidRPr="009E2906">
        <w:rPr>
          <w:rFonts w:ascii="Times New Roman" w:eastAsia="Times New Roman" w:hAnsi="Times New Roman"/>
          <w:color w:val="000000" w:themeColor="text1"/>
          <w:sz w:val="24"/>
          <w:szCs w:val="24"/>
        </w:rPr>
        <w:t xml:space="preserve"> Country Office, Mauritius</w:t>
      </w:r>
      <w:bookmarkEnd w:id="1"/>
      <w:r w:rsidRPr="009E2906">
        <w:rPr>
          <w:rFonts w:ascii="Times New Roman" w:eastAsia="Times New Roman" w:hAnsi="Times New Roman"/>
          <w:color w:val="000000" w:themeColor="text1"/>
          <w:sz w:val="24"/>
          <w:szCs w:val="24"/>
        </w:rPr>
        <w:t>,</w:t>
      </w:r>
    </w:p>
    <w:p w:rsidR="001038AD" w:rsidRPr="009E2906" w:rsidRDefault="009E2906" w:rsidP="00E1242D">
      <w:pPr>
        <w:jc w:val="both"/>
        <w:rPr>
          <w:rFonts w:ascii="Times New Roman" w:eastAsia="Times New Roman" w:hAnsi="Times New Roman"/>
          <w:color w:val="000000" w:themeColor="text1"/>
          <w:sz w:val="24"/>
          <w:szCs w:val="24"/>
        </w:rPr>
      </w:pPr>
      <w:hyperlink r:id="rId4" w:history="1">
        <w:r w:rsidR="007A3A7F" w:rsidRPr="009E2906">
          <w:rPr>
            <w:rStyle w:val="Hyperlink"/>
            <w:rFonts w:ascii="Times New Roman" w:eastAsia="Times New Roman" w:hAnsi="Times New Roman"/>
            <w:color w:val="000000" w:themeColor="text1"/>
            <w:sz w:val="24"/>
            <w:szCs w:val="24"/>
            <w:u w:val="none"/>
            <w:lang w:val="en-GB"/>
          </w:rPr>
          <w:t>nundoochana@who.int</w:t>
        </w:r>
      </w:hyperlink>
    </w:p>
    <w:p w:rsidR="001038AD" w:rsidRPr="009E2906" w:rsidRDefault="00A344F6" w:rsidP="00DD66C0">
      <w:pPr>
        <w:rPr>
          <w:rFonts w:ascii="Times New Roman" w:eastAsia="Times New Roman" w:hAnsi="Times New Roman"/>
          <w:color w:val="000000" w:themeColor="text1"/>
          <w:sz w:val="24"/>
          <w:szCs w:val="24"/>
          <w:lang w:val="en-GB"/>
        </w:rPr>
      </w:pPr>
      <w:r w:rsidRPr="009E2906">
        <w:rPr>
          <w:rFonts w:ascii="Times New Roman" w:eastAsia="Times New Roman" w:hAnsi="Times New Roman"/>
          <w:color w:val="000000" w:themeColor="text1"/>
          <w:sz w:val="24"/>
          <w:szCs w:val="24"/>
          <w:lang w:val="en-GB"/>
        </w:rPr>
        <w:t xml:space="preserve">Dr </w:t>
      </w:r>
      <w:r w:rsidR="00476BEB" w:rsidRPr="009E2906">
        <w:rPr>
          <w:rFonts w:ascii="Times New Roman" w:eastAsia="Times New Roman" w:hAnsi="Times New Roman"/>
          <w:color w:val="000000" w:themeColor="text1"/>
          <w:sz w:val="24"/>
          <w:szCs w:val="24"/>
          <w:lang w:val="en-GB"/>
        </w:rPr>
        <w:t xml:space="preserve">Laurent </w:t>
      </w:r>
      <w:proofErr w:type="spellStart"/>
      <w:r w:rsidR="00476BEB" w:rsidRPr="009E2906">
        <w:rPr>
          <w:rFonts w:ascii="Times New Roman" w:eastAsia="Times New Roman" w:hAnsi="Times New Roman"/>
          <w:color w:val="000000" w:themeColor="text1"/>
          <w:sz w:val="24"/>
          <w:szCs w:val="24"/>
          <w:lang w:val="en-GB"/>
        </w:rPr>
        <w:t>Musango</w:t>
      </w:r>
      <w:proofErr w:type="spellEnd"/>
      <w:r w:rsidRPr="009E2906">
        <w:rPr>
          <w:rFonts w:ascii="Times New Roman" w:eastAsia="Times New Roman" w:hAnsi="Times New Roman"/>
          <w:color w:val="000000" w:themeColor="text1"/>
          <w:sz w:val="24"/>
          <w:szCs w:val="24"/>
          <w:lang w:val="en-GB"/>
        </w:rPr>
        <w:t xml:space="preserve">, </w:t>
      </w:r>
      <w:r w:rsidRPr="009E2906">
        <w:rPr>
          <w:rFonts w:ascii="Times New Roman" w:eastAsia="Times New Roman" w:hAnsi="Times New Roman"/>
          <w:color w:val="000000" w:themeColor="text1"/>
          <w:sz w:val="24"/>
          <w:szCs w:val="24"/>
        </w:rPr>
        <w:t>World He</w:t>
      </w:r>
      <w:r w:rsidR="008D7BBC" w:rsidRPr="009E2906">
        <w:rPr>
          <w:rFonts w:ascii="Times New Roman" w:eastAsia="Times New Roman" w:hAnsi="Times New Roman"/>
          <w:color w:val="000000" w:themeColor="text1"/>
          <w:sz w:val="24"/>
          <w:szCs w:val="24"/>
        </w:rPr>
        <w:t>alth Organizatio</w:t>
      </w:r>
      <w:r w:rsidR="00DD66C0" w:rsidRPr="009E2906">
        <w:rPr>
          <w:rFonts w:ascii="Times New Roman" w:eastAsia="Times New Roman" w:hAnsi="Times New Roman"/>
          <w:color w:val="000000" w:themeColor="text1"/>
          <w:sz w:val="24"/>
          <w:szCs w:val="24"/>
        </w:rPr>
        <w:t>n,</w:t>
      </w:r>
      <w:r w:rsidR="008D7BBC" w:rsidRPr="009E2906">
        <w:rPr>
          <w:rFonts w:ascii="Times New Roman" w:eastAsia="Times New Roman" w:hAnsi="Times New Roman"/>
          <w:color w:val="000000" w:themeColor="text1"/>
          <w:sz w:val="24"/>
          <w:szCs w:val="24"/>
        </w:rPr>
        <w:t xml:space="preserve"> </w:t>
      </w:r>
      <w:r w:rsidR="00D17AAA" w:rsidRPr="009E2906">
        <w:rPr>
          <w:rFonts w:ascii="Times New Roman" w:eastAsia="Times New Roman" w:hAnsi="Times New Roman"/>
          <w:color w:val="000000" w:themeColor="text1"/>
          <w:sz w:val="24"/>
          <w:szCs w:val="24"/>
        </w:rPr>
        <w:t xml:space="preserve">WHO Representative, </w:t>
      </w:r>
      <w:r w:rsidR="008D7BBC" w:rsidRPr="009E2906">
        <w:rPr>
          <w:rFonts w:ascii="Times New Roman" w:eastAsia="Times New Roman" w:hAnsi="Times New Roman"/>
          <w:color w:val="000000" w:themeColor="text1"/>
          <w:sz w:val="24"/>
          <w:szCs w:val="24"/>
        </w:rPr>
        <w:t>Country Office</w:t>
      </w:r>
      <w:r w:rsidRPr="009E2906">
        <w:rPr>
          <w:rFonts w:ascii="Times New Roman" w:eastAsia="Times New Roman" w:hAnsi="Times New Roman"/>
          <w:color w:val="000000" w:themeColor="text1"/>
          <w:sz w:val="24"/>
          <w:szCs w:val="24"/>
        </w:rPr>
        <w:t>, Mauritius</w:t>
      </w:r>
      <w:r w:rsidRPr="009E2906">
        <w:rPr>
          <w:rFonts w:ascii="Times New Roman" w:eastAsia="Times New Roman" w:hAnsi="Times New Roman"/>
          <w:color w:val="000000" w:themeColor="text1"/>
          <w:sz w:val="24"/>
          <w:szCs w:val="24"/>
          <w:lang w:val="en-GB"/>
        </w:rPr>
        <w:t xml:space="preserve">, </w:t>
      </w:r>
      <w:hyperlink r:id="rId5" w:history="1">
        <w:r w:rsidR="007A3A7F" w:rsidRPr="009E2906">
          <w:rPr>
            <w:rStyle w:val="Hyperlink"/>
            <w:rFonts w:ascii="Times New Roman" w:eastAsia="Times New Roman" w:hAnsi="Times New Roman"/>
            <w:color w:val="000000" w:themeColor="text1"/>
            <w:sz w:val="24"/>
            <w:szCs w:val="24"/>
            <w:u w:val="none"/>
            <w:lang w:val="en-GB"/>
          </w:rPr>
          <w:t>musangol@who.int</w:t>
        </w:r>
      </w:hyperlink>
    </w:p>
    <w:p w:rsidR="00476BEB" w:rsidRPr="009E2906" w:rsidRDefault="00A344F6" w:rsidP="00E1242D">
      <w:pPr>
        <w:pBdr>
          <w:bottom w:val="single" w:sz="6" w:space="1" w:color="auto"/>
        </w:pBdr>
        <w:jc w:val="both"/>
        <w:rPr>
          <w:rStyle w:val="Hyperlink"/>
          <w:rFonts w:ascii="Times New Roman" w:hAnsi="Times New Roman"/>
          <w:color w:val="000000" w:themeColor="text1"/>
          <w:sz w:val="24"/>
          <w:szCs w:val="24"/>
        </w:rPr>
      </w:pPr>
      <w:r w:rsidRPr="009E2906">
        <w:rPr>
          <w:rFonts w:ascii="Times New Roman" w:eastAsia="Times New Roman" w:hAnsi="Times New Roman"/>
          <w:color w:val="000000" w:themeColor="text1"/>
          <w:sz w:val="24"/>
          <w:szCs w:val="24"/>
          <w:lang w:val="en-GB"/>
        </w:rPr>
        <w:t xml:space="preserve">Mr </w:t>
      </w:r>
      <w:r w:rsidR="00476BEB" w:rsidRPr="009E2906">
        <w:rPr>
          <w:rFonts w:ascii="Times New Roman" w:eastAsia="Times New Roman" w:hAnsi="Times New Roman"/>
          <w:color w:val="000000" w:themeColor="text1"/>
          <w:sz w:val="24"/>
          <w:szCs w:val="24"/>
        </w:rPr>
        <w:t xml:space="preserve">Yusuf </w:t>
      </w:r>
      <w:proofErr w:type="spellStart"/>
      <w:r w:rsidR="00476BEB" w:rsidRPr="009E2906">
        <w:rPr>
          <w:rFonts w:ascii="Times New Roman" w:eastAsia="Times New Roman" w:hAnsi="Times New Roman"/>
          <w:color w:val="000000" w:themeColor="text1"/>
          <w:sz w:val="24"/>
          <w:szCs w:val="24"/>
        </w:rPr>
        <w:t>Thorabally</w:t>
      </w:r>
      <w:proofErr w:type="spellEnd"/>
      <w:r w:rsidRPr="009E2906">
        <w:rPr>
          <w:rFonts w:ascii="Times New Roman" w:eastAsia="Times New Roman" w:hAnsi="Times New Roman"/>
          <w:color w:val="000000" w:themeColor="text1"/>
          <w:sz w:val="24"/>
          <w:szCs w:val="24"/>
        </w:rPr>
        <w:t xml:space="preserve">, </w:t>
      </w:r>
      <w:hyperlink r:id="rId6" w:history="1">
        <w:r w:rsidR="00E1242D" w:rsidRPr="009E2906">
          <w:rPr>
            <w:rStyle w:val="Hyperlink"/>
            <w:rFonts w:ascii="Times New Roman" w:hAnsi="Times New Roman"/>
            <w:color w:val="000000" w:themeColor="text1"/>
            <w:sz w:val="24"/>
            <w:szCs w:val="24"/>
            <w:u w:val="none"/>
          </w:rPr>
          <w:t>Ythorabally@yahoo.fr</w:t>
        </w:r>
      </w:hyperlink>
    </w:p>
    <w:p w:rsidR="009E2906" w:rsidRPr="009E2906" w:rsidRDefault="009E2906" w:rsidP="00E1242D">
      <w:pPr>
        <w:pBdr>
          <w:bottom w:val="single" w:sz="6" w:space="1" w:color="auto"/>
        </w:pBdr>
        <w:jc w:val="both"/>
        <w:rPr>
          <w:rStyle w:val="Hyperlink"/>
          <w:rFonts w:ascii="Times New Roman" w:hAnsi="Times New Roman"/>
          <w:color w:val="000000" w:themeColor="text1"/>
          <w:sz w:val="24"/>
          <w:szCs w:val="24"/>
        </w:rPr>
      </w:pPr>
      <w:proofErr w:type="spellStart"/>
      <w:r w:rsidRPr="009E2906">
        <w:rPr>
          <w:rFonts w:ascii="Times New Roman" w:hAnsi="Times New Roman"/>
          <w:color w:val="000000" w:themeColor="text1"/>
          <w:sz w:val="24"/>
          <w:szCs w:val="24"/>
        </w:rPr>
        <w:t>Mr</w:t>
      </w:r>
      <w:proofErr w:type="spellEnd"/>
      <w:r w:rsidRPr="009E2906">
        <w:rPr>
          <w:rFonts w:ascii="Times New Roman" w:hAnsi="Times New Roman"/>
          <w:color w:val="000000" w:themeColor="text1"/>
          <w:sz w:val="24"/>
          <w:szCs w:val="24"/>
        </w:rPr>
        <w:t xml:space="preserve"> </w:t>
      </w:r>
      <w:proofErr w:type="spellStart"/>
      <w:r w:rsidRPr="009E2906">
        <w:rPr>
          <w:rFonts w:ascii="Times New Roman" w:hAnsi="Times New Roman"/>
          <w:color w:val="000000" w:themeColor="text1"/>
          <w:sz w:val="24"/>
          <w:szCs w:val="24"/>
        </w:rPr>
        <w:t>Sooneeraz</w:t>
      </w:r>
      <w:proofErr w:type="spellEnd"/>
      <w:r w:rsidRPr="009E2906">
        <w:rPr>
          <w:rFonts w:ascii="Times New Roman" w:hAnsi="Times New Roman"/>
          <w:color w:val="000000" w:themeColor="text1"/>
          <w:sz w:val="24"/>
          <w:szCs w:val="24"/>
        </w:rPr>
        <w:t xml:space="preserve"> </w:t>
      </w:r>
      <w:proofErr w:type="spellStart"/>
      <w:r w:rsidRPr="009E2906">
        <w:rPr>
          <w:rFonts w:ascii="Times New Roman" w:hAnsi="Times New Roman"/>
          <w:color w:val="000000" w:themeColor="text1"/>
          <w:sz w:val="24"/>
          <w:szCs w:val="24"/>
        </w:rPr>
        <w:t>Monohur</w:t>
      </w:r>
      <w:proofErr w:type="spellEnd"/>
      <w:r>
        <w:rPr>
          <w:rFonts w:ascii="Times New Roman" w:hAnsi="Times New Roman"/>
          <w:color w:val="000000" w:themeColor="text1"/>
          <w:sz w:val="24"/>
          <w:szCs w:val="24"/>
        </w:rPr>
        <w:t xml:space="preserve">, </w:t>
      </w:r>
      <w:r w:rsidRPr="009E2906">
        <w:rPr>
          <w:rFonts w:ascii="Times New Roman" w:hAnsi="Times New Roman"/>
          <w:color w:val="000000" w:themeColor="text1"/>
          <w:sz w:val="24"/>
          <w:szCs w:val="24"/>
        </w:rPr>
        <w:t>Ministry of Health and Quality of Life, Mauritius, smanohur@govmu.or</w:t>
      </w:r>
      <w:bookmarkEnd w:id="0"/>
      <w:r w:rsidRPr="009E2906">
        <w:rPr>
          <w:rFonts w:ascii="Times New Roman" w:hAnsi="Times New Roman"/>
          <w:color w:val="000000" w:themeColor="text1"/>
          <w:sz w:val="24"/>
          <w:szCs w:val="24"/>
        </w:rPr>
        <w:t>g</w:t>
      </w:r>
    </w:p>
    <w:p w:rsidR="006F0116" w:rsidRPr="007A3A7F" w:rsidRDefault="006F0116">
      <w:pPr>
        <w:spacing w:line="22" w:lineRule="atLeast"/>
        <w:jc w:val="center"/>
        <w:rPr>
          <w:rFonts w:ascii="Times New Roman" w:eastAsia="Times New Roman" w:hAnsi="Times New Roman"/>
          <w:i/>
          <w:color w:val="000000" w:themeColor="text1"/>
          <w:sz w:val="24"/>
          <w:szCs w:val="24"/>
        </w:rPr>
      </w:pPr>
    </w:p>
    <w:p w:rsidR="006F0116" w:rsidRDefault="00C36E13">
      <w:pPr>
        <w:spacing w:line="264" w:lineRule="auto"/>
        <w:jc w:val="both"/>
        <w:rPr>
          <w:rFonts w:ascii="Times New Roman" w:eastAsia="Times New Roman" w:hAnsi="Times New Roman"/>
          <w:sz w:val="24"/>
          <w:szCs w:val="24"/>
        </w:rPr>
      </w:pPr>
      <w:r>
        <w:rPr>
          <w:rFonts w:ascii="Times New Roman" w:eastAsia="Times New Roman" w:hAnsi="Times New Roman"/>
          <w:b/>
          <w:sz w:val="24"/>
          <w:szCs w:val="24"/>
        </w:rPr>
        <w:t>Background:</w:t>
      </w:r>
      <w:r>
        <w:rPr>
          <w:rFonts w:ascii="Times New Roman" w:eastAsia="Times New Roman" w:hAnsi="Times New Roman"/>
          <w:sz w:val="24"/>
          <w:szCs w:val="24"/>
        </w:rPr>
        <w:t xml:space="preserve"> Mauritius is embracing welfare state principles since four decades and any citizen indistinctly is eligible for free health care in public health facilities, including tertiary specialised care. Paradoxically, a new trend has emerged recently with Household Out of Pocket (OOP) expenditure on health outweighing General Government Health Expenditure (GGHE). This may hinder progress made till date to </w:t>
      </w:r>
      <w:r w:rsidR="009A6B9B">
        <w:rPr>
          <w:rFonts w:ascii="Times New Roman" w:eastAsia="Times New Roman" w:hAnsi="Times New Roman"/>
          <w:sz w:val="24"/>
          <w:szCs w:val="24"/>
        </w:rPr>
        <w:t xml:space="preserve">strengthen </w:t>
      </w:r>
      <w:r w:rsidR="0065074F">
        <w:rPr>
          <w:rFonts w:ascii="Times New Roman" w:eastAsia="Times New Roman" w:hAnsi="Times New Roman"/>
          <w:sz w:val="24"/>
          <w:szCs w:val="24"/>
        </w:rPr>
        <w:t>Primary Health Care (PHC)</w:t>
      </w:r>
      <w:r w:rsidR="009A6B9B">
        <w:rPr>
          <w:rFonts w:ascii="Times New Roman" w:eastAsia="Times New Roman" w:hAnsi="Times New Roman"/>
          <w:sz w:val="24"/>
          <w:szCs w:val="24"/>
        </w:rPr>
        <w:t xml:space="preserve"> for </w:t>
      </w:r>
      <w:r>
        <w:rPr>
          <w:rFonts w:ascii="Times New Roman" w:eastAsia="Times New Roman" w:hAnsi="Times New Roman"/>
          <w:sz w:val="24"/>
          <w:szCs w:val="24"/>
        </w:rPr>
        <w:t>achiev</w:t>
      </w:r>
      <w:r w:rsidR="009A6B9B">
        <w:rPr>
          <w:rFonts w:ascii="Times New Roman" w:eastAsia="Times New Roman" w:hAnsi="Times New Roman"/>
          <w:sz w:val="24"/>
          <w:szCs w:val="24"/>
        </w:rPr>
        <w:t>ing</w:t>
      </w:r>
      <w:r w:rsidR="00057F20">
        <w:rPr>
          <w:rFonts w:ascii="Times New Roman" w:eastAsia="Times New Roman" w:hAnsi="Times New Roman"/>
          <w:sz w:val="24"/>
          <w:szCs w:val="24"/>
        </w:rPr>
        <w:t xml:space="preserve"> Universal Health Coverage</w:t>
      </w:r>
      <w:r>
        <w:rPr>
          <w:rFonts w:ascii="Times New Roman" w:eastAsia="Times New Roman" w:hAnsi="Times New Roman"/>
          <w:sz w:val="24"/>
          <w:szCs w:val="24"/>
        </w:rPr>
        <w:t xml:space="preserve"> </w:t>
      </w:r>
      <w:r w:rsidR="00057F20">
        <w:rPr>
          <w:rFonts w:ascii="Times New Roman" w:eastAsia="Times New Roman" w:hAnsi="Times New Roman"/>
          <w:sz w:val="24"/>
          <w:szCs w:val="24"/>
        </w:rPr>
        <w:t>(</w:t>
      </w:r>
      <w:r>
        <w:rPr>
          <w:rFonts w:ascii="Times New Roman" w:eastAsia="Times New Roman" w:hAnsi="Times New Roman"/>
          <w:sz w:val="24"/>
          <w:szCs w:val="24"/>
        </w:rPr>
        <w:t>UHC</w:t>
      </w:r>
      <w:r w:rsidR="00057F20">
        <w:rPr>
          <w:rFonts w:ascii="Times New Roman" w:eastAsia="Times New Roman" w:hAnsi="Times New Roman"/>
          <w:sz w:val="24"/>
          <w:szCs w:val="24"/>
        </w:rPr>
        <w:t>)</w:t>
      </w:r>
      <w:r>
        <w:rPr>
          <w:rFonts w:ascii="Times New Roman" w:eastAsia="Times New Roman" w:hAnsi="Times New Roman"/>
          <w:sz w:val="24"/>
          <w:szCs w:val="24"/>
        </w:rPr>
        <w:t>.</w:t>
      </w:r>
    </w:p>
    <w:p w:rsidR="006F0116" w:rsidRDefault="006F0116">
      <w:pPr>
        <w:spacing w:line="264" w:lineRule="auto"/>
        <w:jc w:val="both"/>
        <w:rPr>
          <w:rFonts w:ascii="Times New Roman" w:eastAsia="Times New Roman" w:hAnsi="Times New Roman"/>
          <w:sz w:val="24"/>
          <w:szCs w:val="24"/>
        </w:rPr>
      </w:pPr>
    </w:p>
    <w:p w:rsidR="006F0116" w:rsidRDefault="00C36E13">
      <w:pPr>
        <w:spacing w:line="264" w:lineRule="auto"/>
        <w:jc w:val="both"/>
        <w:rPr>
          <w:rFonts w:ascii="Times New Roman" w:eastAsia="Times New Roman" w:hAnsi="Times New Roman"/>
          <w:sz w:val="24"/>
          <w:szCs w:val="24"/>
        </w:rPr>
      </w:pPr>
      <w:r>
        <w:rPr>
          <w:rFonts w:ascii="Times New Roman" w:eastAsia="Times New Roman" w:hAnsi="Times New Roman"/>
          <w:b/>
          <w:sz w:val="24"/>
          <w:szCs w:val="24"/>
        </w:rPr>
        <w:t>Objectives</w:t>
      </w:r>
      <w:r>
        <w:rPr>
          <w:rFonts w:ascii="Times New Roman" w:eastAsia="Times New Roman" w:hAnsi="Times New Roman"/>
          <w:sz w:val="24"/>
          <w:szCs w:val="24"/>
        </w:rPr>
        <w:t xml:space="preserve">: This paper analyses trends in OOP and its impact on key indicators of financial protection i.e. Catastrophic Health Expenditure (CHE) and impoverishment due to OOP health expenditure. The study, also, determine benefit distribution of health care, in terms of pro-rich or pro-poor. </w:t>
      </w:r>
    </w:p>
    <w:p w:rsidR="006F0116" w:rsidRDefault="006F0116">
      <w:pPr>
        <w:spacing w:line="264" w:lineRule="auto"/>
        <w:jc w:val="both"/>
        <w:rPr>
          <w:rFonts w:ascii="Times New Roman" w:eastAsia="Times New Roman" w:hAnsi="Times New Roman"/>
          <w:sz w:val="24"/>
          <w:szCs w:val="24"/>
        </w:rPr>
      </w:pPr>
    </w:p>
    <w:p w:rsidR="006F0116" w:rsidRDefault="00C36E13">
      <w:pPr>
        <w:spacing w:line="264" w:lineRule="auto"/>
        <w:jc w:val="both"/>
        <w:rPr>
          <w:rFonts w:ascii="Times New Roman" w:eastAsia="Times New Roman" w:hAnsi="Times New Roman"/>
          <w:sz w:val="24"/>
          <w:szCs w:val="24"/>
        </w:rPr>
      </w:pPr>
      <w:r>
        <w:rPr>
          <w:rFonts w:ascii="Times New Roman" w:eastAsia="Times New Roman" w:hAnsi="Times New Roman"/>
          <w:b/>
          <w:sz w:val="24"/>
          <w:szCs w:val="24"/>
        </w:rPr>
        <w:t>Methods:</w:t>
      </w:r>
      <w:r>
        <w:rPr>
          <w:rFonts w:ascii="Times New Roman" w:eastAsia="Times New Roman" w:hAnsi="Times New Roman"/>
          <w:sz w:val="24"/>
          <w:szCs w:val="24"/>
        </w:rPr>
        <w:t xml:space="preserve"> Using multiple Household Budget Surveys, incidence of CHE is estimated using the capacity to pay and the budget share standard approach. Impoverishment due to OOP is measured by changes in incidence of poverty and severity of poverty based on the US$ 3.1 international poverty line. To carry out the benefit incidence analysis a four -stage approach is implemented, starting with ranking household using expenditure variables followed by estimating utilization rates of day care services for each household, multiplying the utilization rate of health services, and aggregating benefits of utilization expressed in monetary terms, for each household. The distribution of health benefits across income quintiles is estimated using a concentration index. </w:t>
      </w:r>
    </w:p>
    <w:p w:rsidR="006F0116" w:rsidRDefault="006F0116">
      <w:pPr>
        <w:spacing w:line="264" w:lineRule="auto"/>
        <w:jc w:val="both"/>
        <w:rPr>
          <w:rFonts w:ascii="Times New Roman" w:eastAsia="Times New Roman" w:hAnsi="Times New Roman"/>
          <w:sz w:val="24"/>
          <w:szCs w:val="24"/>
        </w:rPr>
      </w:pPr>
    </w:p>
    <w:p w:rsidR="006F0116" w:rsidRDefault="00C36E13">
      <w:pPr>
        <w:tabs>
          <w:tab w:val="left" w:pos="2410"/>
        </w:tabs>
        <w:spacing w:line="264" w:lineRule="auto"/>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 xml:space="preserve">Findings: </w:t>
      </w:r>
      <w:r>
        <w:rPr>
          <w:rFonts w:ascii="Times New Roman" w:eastAsia="Times New Roman" w:hAnsi="Times New Roman"/>
          <w:color w:val="000000" w:themeColor="text1"/>
          <w:sz w:val="24"/>
          <w:szCs w:val="24"/>
        </w:rPr>
        <w:t xml:space="preserve">A declining trend in CHE and impoverishment over the ten-year period in the lowest quintile is confirmed. Conversely, for other income quintiles CHE increased across all the three thresholds (10%, 25% and 40%) from 2001 to 2012. The incidence of CHE is more significant in urban area prompting a dichotomy between urban and rural regarding equity of access health services. Households pushed below the poverty line due to OOP spending dropped from 0.0848% to 0.054% over the ten-year period. In 2012, only households classified under Quintile 1 (0.244%) and Quintile 2 (0.025%) were drifted under the poverty line due to OOP expenditure on health. Concentration index for all income quintiles was 0.12, inferring health care policies are pro-poor oriented and promotes financial protection. </w:t>
      </w:r>
      <w:r w:rsidR="001D4512">
        <w:rPr>
          <w:rFonts w:ascii="Times New Roman" w:eastAsia="Times New Roman" w:hAnsi="Times New Roman"/>
          <w:color w:val="000000" w:themeColor="text1"/>
          <w:sz w:val="24"/>
          <w:szCs w:val="24"/>
        </w:rPr>
        <w:t xml:space="preserve">The quality of care in public services was not </w:t>
      </w:r>
      <w:r w:rsidR="0077689E">
        <w:rPr>
          <w:rFonts w:ascii="Times New Roman" w:eastAsia="Times New Roman" w:hAnsi="Times New Roman"/>
          <w:color w:val="000000" w:themeColor="text1"/>
          <w:sz w:val="24"/>
          <w:szCs w:val="24"/>
        </w:rPr>
        <w:t>assessed</w:t>
      </w:r>
      <w:r w:rsidR="001D4512">
        <w:rPr>
          <w:rFonts w:ascii="Times New Roman" w:eastAsia="Times New Roman" w:hAnsi="Times New Roman"/>
          <w:color w:val="000000" w:themeColor="text1"/>
          <w:sz w:val="24"/>
          <w:szCs w:val="24"/>
        </w:rPr>
        <w:t xml:space="preserve"> in this study. </w:t>
      </w:r>
    </w:p>
    <w:p w:rsidR="006F0116" w:rsidRDefault="006F0116">
      <w:pPr>
        <w:tabs>
          <w:tab w:val="left" w:pos="2410"/>
        </w:tabs>
        <w:spacing w:line="264" w:lineRule="auto"/>
        <w:jc w:val="both"/>
        <w:rPr>
          <w:rFonts w:ascii="Times New Roman" w:eastAsia="Times New Roman" w:hAnsi="Times New Roman"/>
          <w:b/>
          <w:color w:val="000000" w:themeColor="text1"/>
          <w:sz w:val="24"/>
          <w:szCs w:val="24"/>
        </w:rPr>
      </w:pPr>
    </w:p>
    <w:p w:rsidR="006F0116" w:rsidRDefault="00C36E13">
      <w:pPr>
        <w:tabs>
          <w:tab w:val="left" w:pos="2410"/>
        </w:tabs>
        <w:spacing w:line="264" w:lineRule="auto"/>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Conclusion:</w:t>
      </w:r>
      <w:r>
        <w:rPr>
          <w:rFonts w:ascii="Times New Roman" w:eastAsia="Times New Roman" w:hAnsi="Times New Roman"/>
          <w:color w:val="000000" w:themeColor="text1"/>
          <w:sz w:val="24"/>
          <w:szCs w:val="24"/>
        </w:rPr>
        <w:t xml:space="preserve"> Progress towards UHC can be accelerated through expansion of the fiscal space. Existing conducive macroeconomic fundamentals favour potential expansion through widening of tax base, improved use and performance of public resources</w:t>
      </w:r>
      <w:r w:rsidR="001D4512">
        <w:rPr>
          <w:rFonts w:ascii="Times New Roman" w:eastAsia="Times New Roman" w:hAnsi="Times New Roman"/>
          <w:color w:val="000000" w:themeColor="text1"/>
          <w:sz w:val="24"/>
          <w:szCs w:val="24"/>
        </w:rPr>
        <w:t xml:space="preserve"> as well as assessing the quality of care in public health services</w:t>
      </w:r>
      <w:r>
        <w:rPr>
          <w:rFonts w:ascii="Times New Roman" w:eastAsia="Times New Roman" w:hAnsi="Times New Roman"/>
          <w:color w:val="000000" w:themeColor="text1"/>
          <w:sz w:val="24"/>
          <w:szCs w:val="24"/>
        </w:rPr>
        <w:t xml:space="preserve">. Taxes on Tobacco and Alcohol represent 80% of GGHE. However, instituting earmarking taxes may lead to fungibility and reprioritization within the health sector rather than between health and other sectors.  </w:t>
      </w:r>
    </w:p>
    <w:p w:rsidR="006F0116" w:rsidRDefault="00C36E13">
      <w:pPr>
        <w:tabs>
          <w:tab w:val="left" w:pos="2410"/>
        </w:tabs>
        <w:spacing w:line="252"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00466508">
        <w:rPr>
          <w:rFonts w:ascii="Times New Roman" w:eastAsia="Times New Roman" w:hAnsi="Times New Roman"/>
          <w:color w:val="000000" w:themeColor="text1"/>
          <w:sz w:val="24"/>
          <w:szCs w:val="24"/>
        </w:rPr>
        <w:t>34</w:t>
      </w:r>
      <w:r>
        <w:rPr>
          <w:rFonts w:ascii="Times New Roman" w:eastAsia="Times New Roman" w:hAnsi="Times New Roman"/>
          <w:color w:val="000000" w:themeColor="text1"/>
          <w:sz w:val="24"/>
          <w:szCs w:val="24"/>
        </w:rPr>
        <w:t xml:space="preserve"> Words].</w:t>
      </w:r>
    </w:p>
    <w:p w:rsidR="006F0116" w:rsidRDefault="00C36E13" w:rsidP="00E1242D">
      <w:pPr>
        <w:tabs>
          <w:tab w:val="left" w:pos="2410"/>
        </w:tabs>
        <w:spacing w:line="252" w:lineRule="auto"/>
        <w:jc w:val="both"/>
        <w:rPr>
          <w:rFonts w:ascii="NanumGothic" w:eastAsia="NanumGothic" w:hAnsi="NanumGothic"/>
          <w:sz w:val="20"/>
          <w:szCs w:val="20"/>
        </w:rPr>
      </w:pPr>
      <w:r>
        <w:rPr>
          <w:rFonts w:ascii="Times New Roman" w:eastAsia="Times New Roman" w:hAnsi="Times New Roman"/>
          <w:b/>
          <w:color w:val="000000" w:themeColor="text1"/>
          <w:sz w:val="24"/>
          <w:szCs w:val="24"/>
        </w:rPr>
        <w:lastRenderedPageBreak/>
        <w:t xml:space="preserve">Keywords: </w:t>
      </w:r>
      <w:r>
        <w:rPr>
          <w:rFonts w:ascii="Times New Roman" w:eastAsia="Times New Roman" w:hAnsi="Times New Roman"/>
          <w:color w:val="000000" w:themeColor="text1"/>
          <w:sz w:val="24"/>
          <w:szCs w:val="24"/>
        </w:rPr>
        <w:t>Catastrophic health expenditure, Impoverishment, Out-of-pocket payments</w:t>
      </w:r>
      <w:r w:rsidR="00AD592D">
        <w:rPr>
          <w:rFonts w:ascii="Times New Roman" w:eastAsia="Times New Roman" w:hAnsi="Times New Roman"/>
          <w:color w:val="000000" w:themeColor="text1"/>
          <w:sz w:val="24"/>
          <w:szCs w:val="24"/>
        </w:rPr>
        <w:t xml:space="preserve">, Primary Health Care. </w:t>
      </w:r>
      <w:r>
        <w:rPr>
          <w:rFonts w:ascii="Times New Roman" w:eastAsia="Times New Roman" w:hAnsi="Times New Roman"/>
          <w:b/>
          <w:color w:val="000000" w:themeColor="text1"/>
          <w:sz w:val="24"/>
          <w:szCs w:val="24"/>
        </w:rPr>
        <w:t xml:space="preserve"> </w:t>
      </w:r>
    </w:p>
    <w:sectPr w:rsidR="006F0116" w:rsidSect="0077689E">
      <w:pgSz w:w="11906" w:h="16838"/>
      <w:pgMar w:top="709" w:right="1440" w:bottom="709"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numGothic">
    <w:altName w:val="Tahoma"/>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savePreviewPictur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16"/>
    <w:rsid w:val="00057F20"/>
    <w:rsid w:val="001038AD"/>
    <w:rsid w:val="001D4512"/>
    <w:rsid w:val="00466508"/>
    <w:rsid w:val="00476BEB"/>
    <w:rsid w:val="00502CB3"/>
    <w:rsid w:val="0065074F"/>
    <w:rsid w:val="006F0116"/>
    <w:rsid w:val="0077689E"/>
    <w:rsid w:val="007A2F01"/>
    <w:rsid w:val="007A3A7F"/>
    <w:rsid w:val="00863030"/>
    <w:rsid w:val="008D7BBC"/>
    <w:rsid w:val="009A6B9B"/>
    <w:rsid w:val="009E2906"/>
    <w:rsid w:val="00A344F6"/>
    <w:rsid w:val="00AD592D"/>
    <w:rsid w:val="00C36E13"/>
    <w:rsid w:val="00D17AAA"/>
    <w:rsid w:val="00DD66C0"/>
    <w:rsid w:val="00E1242D"/>
    <w:rsid w:val="00E939F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BB4B"/>
  <w15:docId w15:val="{91B56CA4-49E4-4D48-A3D1-3DBA8B3E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Pr>
      <w:rFonts w:eastAsia="Times New Roman"/>
      <w:sz w:val="20"/>
      <w:szCs w:val="20"/>
    </w:rPr>
  </w:style>
  <w:style w:type="character" w:customStyle="1" w:styleId="EndnoteTextChar">
    <w:name w:val="Endnote Text Char"/>
    <w:basedOn w:val="DefaultParagraphFont"/>
    <w:link w:val="EndnoteText"/>
    <w:rPr>
      <w:rFonts w:ascii="Calibri" w:eastAsia="Times New Roman" w:hAnsi="Calibri"/>
      <w:w w:val="100"/>
      <w:sz w:val="20"/>
      <w:szCs w:val="20"/>
      <w:shd w:val="clear" w:color="auto" w:fill="auto"/>
    </w:rPr>
  </w:style>
  <w:style w:type="character" w:styleId="EndnoteReference">
    <w:name w:val="endnote reference"/>
    <w:semiHidden/>
    <w:unhideWhenUsed/>
    <w:rPr>
      <w:w w:val="100"/>
      <w:sz w:val="20"/>
      <w:szCs w:val="20"/>
      <w:shd w:val="clear" w:color="auto" w:fill="auto"/>
      <w:vertAlign w:val="superscript"/>
    </w:rPr>
  </w:style>
  <w:style w:type="character" w:styleId="Hyperlink">
    <w:name w:val="Hyperlink"/>
    <w:basedOn w:val="DefaultParagraphFont"/>
    <w:uiPriority w:val="99"/>
    <w:unhideWhenUsed/>
    <w:rsid w:val="007A3A7F"/>
    <w:rPr>
      <w:color w:val="0563C1" w:themeColor="hyperlink"/>
      <w:u w:val="single"/>
    </w:rPr>
  </w:style>
  <w:style w:type="character" w:styleId="UnresolvedMention">
    <w:name w:val="Unresolved Mention"/>
    <w:basedOn w:val="DefaultParagraphFont"/>
    <w:uiPriority w:val="99"/>
    <w:semiHidden/>
    <w:unhideWhenUsed/>
    <w:rsid w:val="007A3A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thorabally@yahoo.fr" TargetMode="External"/><Relationship Id="rId5" Type="http://schemas.openxmlformats.org/officeDocument/2006/relationships/hyperlink" Target="mailto:musangol@who.int" TargetMode="External"/><Relationship Id="rId4" Type="http://schemas.openxmlformats.org/officeDocument/2006/relationships/hyperlink" Target="mailto:nundoochana@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3135</Characters>
  <Application>Microsoft Office Word</Application>
  <DocSecurity>0</DocSecurity>
  <Lines>58</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Ajoy NUNDOOCHAN</dc:creator>
  <cp:lastModifiedBy>Ajoy NUNDOOCHAN</cp:lastModifiedBy>
  <cp:revision>2</cp:revision>
  <dcterms:created xsi:type="dcterms:W3CDTF">2018-10-30T06:58:00Z</dcterms:created>
  <dcterms:modified xsi:type="dcterms:W3CDTF">2018-10-30T06:58:00Z</dcterms:modified>
</cp:coreProperties>
</file>