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E1B0" w14:textId="1FA6273F" w:rsidR="006C18DA" w:rsidRDefault="004804E5" w:rsidP="00325EE3">
      <w:pPr>
        <w:pStyle w:val="Heading2"/>
        <w:spacing w:after="120" w:line="360" w:lineRule="auto"/>
        <w:rPr>
          <w:rFonts w:eastAsia="Calibri"/>
          <w:szCs w:val="22"/>
        </w:rPr>
      </w:pPr>
      <w:bookmarkStart w:id="0" w:name="_Toc526341430"/>
      <w:r w:rsidRPr="004804E5">
        <w:rPr>
          <w:rFonts w:eastAsia="Calibri"/>
          <w:szCs w:val="22"/>
        </w:rPr>
        <w:t>Faith based health providers are less affordable to access for PLHIV, a comparative study from North Tanzania</w:t>
      </w:r>
    </w:p>
    <w:bookmarkEnd w:id="0"/>
    <w:p w14:paraId="014E4F55" w14:textId="35061275" w:rsidR="00325EE3" w:rsidRPr="00FD342C" w:rsidRDefault="00325EE3" w:rsidP="00325EE3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342C">
        <w:rPr>
          <w:rFonts w:asciiTheme="minorHAnsi" w:hAnsiTheme="minorHAnsi" w:cstheme="minorHAnsi"/>
          <w:b/>
          <w:sz w:val="22"/>
          <w:szCs w:val="22"/>
        </w:rPr>
        <w:t xml:space="preserve">Background:  </w:t>
      </w:r>
      <w:r w:rsidR="00C066A8">
        <w:rPr>
          <w:rFonts w:asciiTheme="minorHAnsi" w:hAnsiTheme="minorHAnsi" w:cstheme="minorHAnsi"/>
          <w:sz w:val="22"/>
          <w:szCs w:val="22"/>
        </w:rPr>
        <w:t>The third sustainable development goal emphasizes on improving individual’s access to needed health services and protecting them from financial catastrophes and impoverishing health care costs</w:t>
      </w:r>
      <w:r w:rsidRPr="00FD342C">
        <w:rPr>
          <w:rFonts w:asciiTheme="minorHAnsi" w:hAnsiTheme="minorHAnsi" w:cstheme="minorHAnsi"/>
          <w:sz w:val="22"/>
          <w:szCs w:val="22"/>
        </w:rPr>
        <w:t xml:space="preserve">. While access to HIV care </w:t>
      </w:r>
      <w:r w:rsidR="006C18DA">
        <w:rPr>
          <w:rFonts w:asciiTheme="minorHAnsi" w:hAnsiTheme="minorHAnsi" w:cstheme="minorHAnsi"/>
          <w:sz w:val="22"/>
          <w:szCs w:val="22"/>
        </w:rPr>
        <w:t xml:space="preserve">is </w:t>
      </w:r>
      <w:r w:rsidR="00C066A8">
        <w:rPr>
          <w:rFonts w:asciiTheme="minorHAnsi" w:hAnsiTheme="minorHAnsi" w:cstheme="minorHAnsi"/>
          <w:sz w:val="22"/>
          <w:szCs w:val="22"/>
        </w:rPr>
        <w:t xml:space="preserve">a </w:t>
      </w:r>
      <w:r w:rsidRPr="00FD342C">
        <w:rPr>
          <w:rFonts w:asciiTheme="minorHAnsi" w:hAnsiTheme="minorHAnsi" w:cstheme="minorHAnsi"/>
          <w:sz w:val="22"/>
          <w:szCs w:val="22"/>
        </w:rPr>
        <w:t xml:space="preserve">complex concepts that interact with different socio-economic factors, </w:t>
      </w:r>
      <w:r w:rsidR="00C066A8">
        <w:rPr>
          <w:rFonts w:asciiTheme="minorHAnsi" w:hAnsiTheme="minorHAnsi" w:cstheme="minorHAnsi"/>
          <w:sz w:val="22"/>
          <w:szCs w:val="22"/>
        </w:rPr>
        <w:t>little</w:t>
      </w:r>
      <w:r w:rsidRPr="00FD342C">
        <w:rPr>
          <w:rFonts w:asciiTheme="minorHAnsi" w:hAnsiTheme="minorHAnsi" w:cstheme="minorHAnsi"/>
          <w:sz w:val="22"/>
          <w:szCs w:val="22"/>
        </w:rPr>
        <w:t xml:space="preserve"> is  known </w:t>
      </w:r>
      <w:r w:rsidR="00C066A8">
        <w:rPr>
          <w:rFonts w:asciiTheme="minorHAnsi" w:hAnsiTheme="minorHAnsi" w:cstheme="minorHAnsi"/>
          <w:sz w:val="22"/>
          <w:szCs w:val="22"/>
        </w:rPr>
        <w:t xml:space="preserve">on </w:t>
      </w:r>
      <w:r w:rsidRPr="00FD342C">
        <w:rPr>
          <w:rFonts w:asciiTheme="minorHAnsi" w:hAnsiTheme="minorHAnsi" w:cstheme="minorHAnsi"/>
          <w:sz w:val="22"/>
          <w:szCs w:val="22"/>
        </w:rPr>
        <w:t>how these may differ between different health providers. Faith based health providers</w:t>
      </w:r>
      <w:r w:rsidR="006C18DA">
        <w:rPr>
          <w:rFonts w:asciiTheme="minorHAnsi" w:hAnsiTheme="minorHAnsi" w:cstheme="minorHAnsi"/>
          <w:sz w:val="22"/>
          <w:szCs w:val="22"/>
        </w:rPr>
        <w:t>(FBHP)</w:t>
      </w:r>
      <w:r w:rsidRPr="00FD342C">
        <w:rPr>
          <w:rFonts w:asciiTheme="minorHAnsi" w:hAnsiTheme="minorHAnsi" w:cstheme="minorHAnsi"/>
          <w:sz w:val="22"/>
          <w:szCs w:val="22"/>
        </w:rPr>
        <w:t xml:space="preserve"> represent an important source of care for all socio-economic groups especially for those in the rural areas due to their affordability, availability and acceptability. This study investigated the </w:t>
      </w:r>
      <w:r>
        <w:rPr>
          <w:rFonts w:asciiTheme="minorHAnsi" w:hAnsiTheme="minorHAnsi" w:cstheme="minorHAnsi"/>
          <w:sz w:val="22"/>
          <w:szCs w:val="22"/>
        </w:rPr>
        <w:t xml:space="preserve">relationship between </w:t>
      </w:r>
      <w:r w:rsidRPr="00FD342C">
        <w:rPr>
          <w:rFonts w:asciiTheme="minorHAnsi" w:hAnsiTheme="minorHAnsi" w:cstheme="minorHAnsi"/>
          <w:sz w:val="22"/>
          <w:szCs w:val="22"/>
        </w:rPr>
        <w:t>health facility ownership</w:t>
      </w:r>
      <w:r>
        <w:rPr>
          <w:rFonts w:asciiTheme="minorHAnsi" w:hAnsiTheme="minorHAnsi" w:cstheme="minorHAnsi"/>
          <w:sz w:val="22"/>
          <w:szCs w:val="22"/>
        </w:rPr>
        <w:t xml:space="preserve"> and access </w:t>
      </w:r>
      <w:r w:rsidRPr="00FD34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FD342C">
        <w:rPr>
          <w:rFonts w:asciiTheme="minorHAnsi" w:hAnsiTheme="minorHAnsi" w:cstheme="minorHAnsi"/>
          <w:sz w:val="22"/>
          <w:szCs w:val="22"/>
        </w:rPr>
        <w:t xml:space="preserve"> HIV care in Northern Tanzania</w:t>
      </w:r>
      <w:r w:rsidR="006C18DA">
        <w:rPr>
          <w:rFonts w:asciiTheme="minorHAnsi" w:hAnsiTheme="minorHAnsi" w:cstheme="minorHAnsi"/>
          <w:sz w:val="22"/>
          <w:szCs w:val="22"/>
        </w:rPr>
        <w:t>.</w:t>
      </w:r>
    </w:p>
    <w:p w14:paraId="34462B5F" w14:textId="49229A18" w:rsidR="00325EE3" w:rsidRPr="00FD342C" w:rsidRDefault="00325EE3" w:rsidP="00325EE3">
      <w:pPr>
        <w:spacing w:after="120" w:line="360" w:lineRule="auto"/>
        <w:jc w:val="both"/>
      </w:pPr>
      <w:r w:rsidRPr="00FD342C">
        <w:rPr>
          <w:rFonts w:cstheme="minorHAnsi"/>
          <w:b/>
        </w:rPr>
        <w:t xml:space="preserve">Methods: </w:t>
      </w:r>
      <w:r w:rsidRPr="00FD342C">
        <w:rPr>
          <w:rFonts w:cstheme="minorHAnsi"/>
        </w:rPr>
        <w:t xml:space="preserve">We conducted a </w:t>
      </w:r>
      <w:r w:rsidR="001F60FF">
        <w:rPr>
          <w:rFonts w:cstheme="minorHAnsi"/>
        </w:rPr>
        <w:t xml:space="preserve">patient-cost </w:t>
      </w:r>
      <w:r w:rsidRPr="00FD342C">
        <w:rPr>
          <w:rFonts w:cstheme="minorHAnsi"/>
        </w:rPr>
        <w:t>study in t</w:t>
      </w:r>
      <w:r w:rsidR="001F60FF">
        <w:rPr>
          <w:rFonts w:cstheme="minorHAnsi"/>
        </w:rPr>
        <w:t>wo</w:t>
      </w:r>
      <w:r w:rsidRPr="00FD342C">
        <w:rPr>
          <w:rFonts w:cstheme="minorHAnsi"/>
        </w:rPr>
        <w:t xml:space="preserve"> purposively selected HIV/AIDS care and treatment centers</w:t>
      </w:r>
      <w:r>
        <w:rPr>
          <w:rFonts w:cstheme="minorHAnsi"/>
        </w:rPr>
        <w:t>, a faith-</w:t>
      </w:r>
      <w:r w:rsidR="00FA3B36">
        <w:rPr>
          <w:rFonts w:cstheme="minorHAnsi"/>
        </w:rPr>
        <w:t>based and</w:t>
      </w:r>
      <w:r w:rsidR="006C18DA">
        <w:rPr>
          <w:rFonts w:cstheme="minorHAnsi"/>
        </w:rPr>
        <w:t xml:space="preserve"> a state-owned</w:t>
      </w:r>
      <w:r>
        <w:rPr>
          <w:rFonts w:cstheme="minorHAnsi"/>
        </w:rPr>
        <w:t xml:space="preserve">. A total of </w:t>
      </w:r>
      <w:r w:rsidRPr="00FD342C">
        <w:rPr>
          <w:rFonts w:cstheme="minorHAnsi"/>
        </w:rPr>
        <w:t xml:space="preserve">618 clinic exit interviews were conducted; 336 from the faith-based health facility and a total of 282 from the public hospitals. </w:t>
      </w:r>
      <w:r w:rsidR="006C18DA">
        <w:rPr>
          <w:rFonts w:cstheme="minorHAnsi"/>
        </w:rPr>
        <w:t>T</w:t>
      </w:r>
      <w:r w:rsidRPr="00FD342C">
        <w:rPr>
          <w:rFonts w:cstheme="minorHAnsi"/>
        </w:rPr>
        <w:t xml:space="preserve">hree dimensions of access (affordability, acceptability and acceptability) were </w:t>
      </w:r>
      <w:r>
        <w:rPr>
          <w:rFonts w:cstheme="minorHAnsi"/>
        </w:rPr>
        <w:t>evaluated</w:t>
      </w:r>
      <w:r w:rsidRPr="00FD342C">
        <w:rPr>
          <w:rFonts w:cstheme="minorHAnsi"/>
        </w:rPr>
        <w:t xml:space="preserve"> using </w:t>
      </w:r>
      <w:r>
        <w:rPr>
          <w:rFonts w:cstheme="minorHAnsi"/>
        </w:rPr>
        <w:t xml:space="preserve">patient </w:t>
      </w:r>
      <w:r w:rsidRPr="00FD342C">
        <w:rPr>
          <w:rFonts w:cstheme="minorHAnsi"/>
        </w:rPr>
        <w:t xml:space="preserve">exit interviews. We then </w:t>
      </w:r>
      <w:r>
        <w:rPr>
          <w:rFonts w:cstheme="minorHAnsi"/>
        </w:rPr>
        <w:t>compared</w:t>
      </w:r>
      <w:r w:rsidRPr="00FD342C">
        <w:rPr>
          <w:rFonts w:cstheme="minorHAnsi"/>
        </w:rPr>
        <w:t xml:space="preserve"> the three access dimensions according to the health provider using the Pearson x</w:t>
      </w:r>
      <w:r w:rsidRPr="00FD342C">
        <w:rPr>
          <w:rFonts w:cstheme="minorHAnsi"/>
          <w:vertAlign w:val="superscript"/>
        </w:rPr>
        <w:t xml:space="preserve">2 </w:t>
      </w:r>
      <w:r w:rsidRPr="00FD342C">
        <w:rPr>
          <w:rFonts w:cstheme="minorHAnsi"/>
        </w:rPr>
        <w:t>, Fischer exact  and Mann-Whitney U tests were appropriate</w:t>
      </w:r>
      <w:r w:rsidRPr="00FD342C">
        <w:t>.</w:t>
      </w:r>
      <w:r>
        <w:t xml:space="preserve"> </w:t>
      </w:r>
    </w:p>
    <w:p w14:paraId="02FABDE6" w14:textId="3C4A4555" w:rsidR="00325EE3" w:rsidRPr="00FD342C" w:rsidRDefault="00325EE3" w:rsidP="00325EE3">
      <w:pPr>
        <w:spacing w:after="120" w:line="360" w:lineRule="auto"/>
        <w:jc w:val="both"/>
        <w:rPr>
          <w:rFonts w:cstheme="minorHAnsi"/>
          <w:b/>
        </w:rPr>
      </w:pPr>
      <w:r w:rsidRPr="00FD342C">
        <w:rPr>
          <w:rFonts w:cstheme="minorHAnsi"/>
          <w:b/>
        </w:rPr>
        <w:t>Results:</w:t>
      </w:r>
      <w:r w:rsidRPr="00FD342C">
        <w:rPr>
          <w:rFonts w:cstheme="minorHAnsi"/>
        </w:rPr>
        <w:t xml:space="preserve"> Only 22% of the participants had any form of health insurance cover with a larger proportion in the FBHP (109 [32.4%] vs 27 [9.6%], P = 0.000). The total direct costs paid to the hospital per visit was high in the FBHP ($ 1.6[SD 1.4] vs $ 0.1[SD 0.8], P = 0.000) with a slightly larger proportion of participants from the FBHP suffering catastrophic health expenditures from direct costs paid out of pocket compared to those from PH at a 10% threshold (115 [34.2] vs 86 [31%] P= 0.324).</w:t>
      </w:r>
      <w:r w:rsidR="00C066A8">
        <w:rPr>
          <w:rFonts w:cstheme="minorHAnsi"/>
        </w:rPr>
        <w:t>60%</w:t>
      </w:r>
      <w:r w:rsidR="00CF314D">
        <w:rPr>
          <w:rFonts w:cstheme="minorHAnsi"/>
        </w:rPr>
        <w:t xml:space="preserve"> </w:t>
      </w:r>
      <w:r w:rsidR="00CF314D" w:rsidRPr="00FD342C">
        <w:rPr>
          <w:rFonts w:eastAsia="Times New Roman" w:cstheme="minorHAnsi"/>
          <w:bCs/>
          <w:sz w:val="20"/>
          <w:szCs w:val="20"/>
        </w:rPr>
        <w:t>(97/336</w:t>
      </w:r>
      <w:r w:rsidR="00CF314D">
        <w:rPr>
          <w:rFonts w:eastAsia="Times New Roman" w:cstheme="minorHAnsi"/>
          <w:bCs/>
          <w:sz w:val="20"/>
          <w:szCs w:val="20"/>
        </w:rPr>
        <w:t>)</w:t>
      </w:r>
      <w:r w:rsidR="00C066A8">
        <w:rPr>
          <w:rFonts w:cstheme="minorHAnsi"/>
        </w:rPr>
        <w:t xml:space="preserve"> of the participants with chronic illness in the FBHP received care from the same clinic compare</w:t>
      </w:r>
      <w:r w:rsidR="00FA3B36">
        <w:rPr>
          <w:rFonts w:cstheme="minorHAnsi"/>
        </w:rPr>
        <w:t>d</w:t>
      </w:r>
      <w:r w:rsidR="00C066A8">
        <w:rPr>
          <w:rFonts w:cstheme="minorHAnsi"/>
        </w:rPr>
        <w:t xml:space="preserve"> to 37% </w:t>
      </w:r>
      <w:r w:rsidR="00CF314D" w:rsidRPr="00FD342C">
        <w:rPr>
          <w:rFonts w:eastAsia="Times New Roman" w:cstheme="minorHAnsi"/>
          <w:bCs/>
          <w:sz w:val="20"/>
          <w:szCs w:val="20"/>
        </w:rPr>
        <w:t>(43/282)</w:t>
      </w:r>
      <w:r w:rsidR="00CF314D">
        <w:rPr>
          <w:rFonts w:eastAsia="Times New Roman" w:cstheme="minorHAnsi"/>
          <w:bCs/>
          <w:sz w:val="20"/>
          <w:szCs w:val="20"/>
        </w:rPr>
        <w:t xml:space="preserve"> </w:t>
      </w:r>
      <w:r w:rsidR="00C066A8">
        <w:rPr>
          <w:rFonts w:cstheme="minorHAnsi"/>
        </w:rPr>
        <w:t>from the public hospital.</w:t>
      </w:r>
      <w:r w:rsidRPr="00FD342C">
        <w:rPr>
          <w:rFonts w:cstheme="minorHAnsi"/>
        </w:rPr>
        <w:t xml:space="preserve"> Most of the participants 546 [82.4%] had never experienced negative judgement from the health workers and there was no difference between the providers (282 [83.9%] vs 227 [80.5%] P= 0.136). </w:t>
      </w:r>
    </w:p>
    <w:p w14:paraId="6853CC20" w14:textId="0FBFF4AA" w:rsidR="00325EE3" w:rsidRDefault="00325EE3" w:rsidP="00325EE3">
      <w:pPr>
        <w:spacing w:after="120" w:line="360" w:lineRule="auto"/>
        <w:jc w:val="both"/>
        <w:rPr>
          <w:rFonts w:cstheme="minorHAnsi"/>
          <w:b/>
        </w:rPr>
      </w:pPr>
      <w:r w:rsidRPr="00FD342C">
        <w:rPr>
          <w:rFonts w:cstheme="minorHAnsi"/>
          <w:b/>
        </w:rPr>
        <w:t xml:space="preserve">Conclusion: </w:t>
      </w:r>
    </w:p>
    <w:p w14:paraId="5219CF6F" w14:textId="56532F5E" w:rsidR="006C18DA" w:rsidRPr="00C066A8" w:rsidRDefault="006C18DA" w:rsidP="00325EE3">
      <w:pPr>
        <w:spacing w:after="120" w:line="360" w:lineRule="auto"/>
        <w:jc w:val="both"/>
        <w:rPr>
          <w:rFonts w:cstheme="minorHAnsi"/>
        </w:rPr>
      </w:pPr>
      <w:r w:rsidRPr="00C066A8">
        <w:rPr>
          <w:rFonts w:cstheme="minorHAnsi"/>
        </w:rPr>
        <w:t xml:space="preserve">FBHPS are generally less affordable compared to public providers with high costs of services and access, although this is more complex when assessed closely. Services for chronic </w:t>
      </w:r>
      <w:r w:rsidR="00C066A8" w:rsidRPr="00C066A8">
        <w:rPr>
          <w:rFonts w:cstheme="minorHAnsi"/>
        </w:rPr>
        <w:t xml:space="preserve">diseases other than HIV/AIDS were readily available in the FBHP.Contrary to previous notions, both providers have high level of acceptability. Interventions and policies addressing </w:t>
      </w:r>
      <w:r w:rsidR="00CF314D">
        <w:rPr>
          <w:rFonts w:cstheme="minorHAnsi"/>
        </w:rPr>
        <w:t>access</w:t>
      </w:r>
      <w:r w:rsidR="00C066A8" w:rsidRPr="00C066A8">
        <w:rPr>
          <w:rFonts w:cstheme="minorHAnsi"/>
        </w:rPr>
        <w:t xml:space="preserve"> barriers need to concentrate on </w:t>
      </w:r>
      <w:r w:rsidR="00CF314D">
        <w:rPr>
          <w:rFonts w:cstheme="minorHAnsi"/>
        </w:rPr>
        <w:t xml:space="preserve">health provider’s </w:t>
      </w:r>
      <w:r w:rsidR="00C066A8" w:rsidRPr="00C066A8">
        <w:rPr>
          <w:rFonts w:cstheme="minorHAnsi"/>
        </w:rPr>
        <w:t xml:space="preserve">models </w:t>
      </w:r>
      <w:r w:rsidR="00CF314D">
        <w:rPr>
          <w:rFonts w:cstheme="minorHAnsi"/>
        </w:rPr>
        <w:t xml:space="preserve">of access </w:t>
      </w:r>
      <w:r w:rsidR="00C066A8" w:rsidRPr="00C066A8">
        <w:rPr>
          <w:rFonts w:cstheme="minorHAnsi"/>
        </w:rPr>
        <w:t xml:space="preserve">that protect patients from high out-of-pockets </w:t>
      </w:r>
      <w:r w:rsidR="00CF314D">
        <w:rPr>
          <w:rFonts w:cstheme="minorHAnsi"/>
        </w:rPr>
        <w:t xml:space="preserve">and </w:t>
      </w:r>
      <w:r w:rsidR="00C066A8" w:rsidRPr="00C066A8">
        <w:rPr>
          <w:rFonts w:cstheme="minorHAnsi"/>
        </w:rPr>
        <w:t xml:space="preserve">catastrophic </w:t>
      </w:r>
      <w:r w:rsidR="00CF314D">
        <w:rPr>
          <w:rFonts w:cstheme="minorHAnsi"/>
        </w:rPr>
        <w:t xml:space="preserve">health </w:t>
      </w:r>
      <w:r w:rsidR="00C066A8" w:rsidRPr="00C066A8">
        <w:rPr>
          <w:rFonts w:cstheme="minorHAnsi"/>
        </w:rPr>
        <w:t>expenditures.</w:t>
      </w:r>
    </w:p>
    <w:p w14:paraId="7C42B103" w14:textId="77777777" w:rsidR="002C7030" w:rsidRDefault="004804E5">
      <w:bookmarkStart w:id="1" w:name="_GoBack"/>
      <w:bookmarkEnd w:id="1"/>
    </w:p>
    <w:sectPr w:rsidR="002C7030" w:rsidSect="00AB0D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E3"/>
    <w:rsid w:val="00021D94"/>
    <w:rsid w:val="00055F0E"/>
    <w:rsid w:val="000A4A21"/>
    <w:rsid w:val="001F60FF"/>
    <w:rsid w:val="00213312"/>
    <w:rsid w:val="00233487"/>
    <w:rsid w:val="002A3A7C"/>
    <w:rsid w:val="00306F0E"/>
    <w:rsid w:val="00325EE3"/>
    <w:rsid w:val="0033195C"/>
    <w:rsid w:val="00376E0F"/>
    <w:rsid w:val="003F249A"/>
    <w:rsid w:val="00420BD5"/>
    <w:rsid w:val="004411CC"/>
    <w:rsid w:val="004804E5"/>
    <w:rsid w:val="00494F59"/>
    <w:rsid w:val="00531377"/>
    <w:rsid w:val="0058422F"/>
    <w:rsid w:val="00622DF3"/>
    <w:rsid w:val="00644384"/>
    <w:rsid w:val="006C18DA"/>
    <w:rsid w:val="007308D0"/>
    <w:rsid w:val="007919BC"/>
    <w:rsid w:val="00794FDC"/>
    <w:rsid w:val="007A4811"/>
    <w:rsid w:val="007F5D87"/>
    <w:rsid w:val="00866132"/>
    <w:rsid w:val="008B1DE0"/>
    <w:rsid w:val="008F7C81"/>
    <w:rsid w:val="008F7F6F"/>
    <w:rsid w:val="009F4C9E"/>
    <w:rsid w:val="00A75643"/>
    <w:rsid w:val="00A8514A"/>
    <w:rsid w:val="00A91C66"/>
    <w:rsid w:val="00AB0D46"/>
    <w:rsid w:val="00C066A8"/>
    <w:rsid w:val="00C72B2F"/>
    <w:rsid w:val="00C7685B"/>
    <w:rsid w:val="00C827D5"/>
    <w:rsid w:val="00CA4748"/>
    <w:rsid w:val="00CC3C47"/>
    <w:rsid w:val="00CC568B"/>
    <w:rsid w:val="00CF1F15"/>
    <w:rsid w:val="00CF314D"/>
    <w:rsid w:val="00CF3DCA"/>
    <w:rsid w:val="00D15647"/>
    <w:rsid w:val="00D41C60"/>
    <w:rsid w:val="00D67617"/>
    <w:rsid w:val="00DF7CA0"/>
    <w:rsid w:val="00E04712"/>
    <w:rsid w:val="00E37F5E"/>
    <w:rsid w:val="00E611E7"/>
    <w:rsid w:val="00EB213B"/>
    <w:rsid w:val="00EB214E"/>
    <w:rsid w:val="00ED13FC"/>
    <w:rsid w:val="00F25341"/>
    <w:rsid w:val="00F60A40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A674E"/>
  <w15:chartTrackingRefBased/>
  <w15:docId w15:val="{063F8FED-5FAC-FC4C-9453-9E445B8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EE3"/>
    <w:pPr>
      <w:spacing w:after="200" w:line="276" w:lineRule="auto"/>
    </w:pPr>
    <w:rPr>
      <w:rFonts w:eastAsiaTheme="minorEastAsia"/>
      <w:sz w:val="22"/>
      <w:szCs w:val="2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EE3"/>
    <w:pPr>
      <w:keepNext/>
      <w:keepLines/>
      <w:spacing w:after="0" w:line="480" w:lineRule="auto"/>
      <w:outlineLvl w:val="1"/>
    </w:pPr>
    <w:rPr>
      <w:rFonts w:eastAsiaTheme="majorEastAsia" w:cstheme="majorBidi"/>
      <w:b/>
      <w:bCs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5EE3"/>
    <w:rPr>
      <w:rFonts w:eastAsiaTheme="majorEastAsia" w:cstheme="majorBidi"/>
      <w:b/>
      <w:bCs/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25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EE3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EE3"/>
    <w:rPr>
      <w:rFonts w:eastAsiaTheme="minorEastAsi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2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E3"/>
    <w:rPr>
      <w:rFonts w:ascii="Times New Roman" w:eastAsiaTheme="minorEastAsia" w:hAnsi="Times New Roman" w:cs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Mhina</dc:creator>
  <cp:keywords/>
  <dc:description/>
  <cp:lastModifiedBy>Carl Mhina</cp:lastModifiedBy>
  <cp:revision>7</cp:revision>
  <dcterms:created xsi:type="dcterms:W3CDTF">2018-10-11T12:47:00Z</dcterms:created>
  <dcterms:modified xsi:type="dcterms:W3CDTF">2018-10-30T19:21:00Z</dcterms:modified>
</cp:coreProperties>
</file>