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4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1553"/>
        <w:gridCol w:w="6201"/>
      </w:tblGrid>
      <w:tr w:rsidR="001C2428" w:rsidRPr="003B37EA" w:rsidTr="001C2428">
        <w:tc>
          <w:tcPr>
            <w:tcW w:w="2663" w:type="dxa"/>
            <w:gridSpan w:val="2"/>
          </w:tcPr>
          <w:p w:rsidR="001C2428" w:rsidRPr="003B37EA" w:rsidRDefault="001C2428" w:rsidP="001C2428">
            <w:pPr>
              <w:tabs>
                <w:tab w:val="center" w:pos="1242"/>
                <w:tab w:val="right" w:pos="2484"/>
              </w:tabs>
              <w:autoSpaceDE w:val="0"/>
              <w:autoSpaceDN w:val="0"/>
              <w:adjustRightInd w:val="0"/>
              <w:spacing w:line="360" w:lineRule="auto"/>
              <w:rPr>
                <w:color w:val="000000"/>
              </w:rPr>
            </w:pPr>
            <w:r w:rsidRPr="003B37EA">
              <w:rPr>
                <w:color w:val="000000"/>
              </w:rPr>
              <w:tab/>
              <w:t>Titre</w:t>
            </w:r>
            <w:r w:rsidRPr="003B37EA">
              <w:rPr>
                <w:color w:val="000000"/>
              </w:rPr>
              <w:tab/>
            </w:r>
          </w:p>
        </w:tc>
        <w:tc>
          <w:tcPr>
            <w:tcW w:w="6201" w:type="dxa"/>
          </w:tcPr>
          <w:p w:rsidR="0077304B" w:rsidRPr="003B37EA" w:rsidRDefault="0077304B" w:rsidP="00640E2E">
            <w:pPr>
              <w:shd w:val="clear" w:color="auto" w:fill="FFFFFF"/>
              <w:rPr>
                <w:color w:val="222222"/>
                <w:sz w:val="19"/>
                <w:szCs w:val="19"/>
              </w:rPr>
            </w:pPr>
          </w:p>
          <w:p w:rsidR="001961A6" w:rsidRPr="001961A6" w:rsidRDefault="001961A6" w:rsidP="001961A6">
            <w:pPr>
              <w:spacing w:line="360" w:lineRule="auto"/>
              <w:rPr>
                <w:bCs/>
                <w:i/>
              </w:rPr>
            </w:pPr>
            <w:r w:rsidRPr="001961A6">
              <w:rPr>
                <w:bCs/>
                <w:i/>
              </w:rPr>
              <w:t xml:space="preserve">Dossier d’investissement pour l’accélération du programme de vaccination </w:t>
            </w:r>
            <w:r>
              <w:rPr>
                <w:bCs/>
                <w:i/>
              </w:rPr>
              <w:t xml:space="preserve">plus </w:t>
            </w:r>
            <w:r w:rsidRPr="001961A6">
              <w:rPr>
                <w:bCs/>
                <w:i/>
              </w:rPr>
              <w:t>au Bénin (2018-2023)</w:t>
            </w:r>
          </w:p>
          <w:p w:rsidR="001C2428" w:rsidRPr="003B37EA" w:rsidRDefault="001C2428" w:rsidP="001C2428">
            <w:pPr>
              <w:spacing w:before="120" w:line="360" w:lineRule="auto"/>
              <w:jc w:val="center"/>
              <w:rPr>
                <w:color w:val="000000"/>
              </w:rPr>
            </w:pPr>
          </w:p>
        </w:tc>
      </w:tr>
      <w:tr w:rsidR="001C2428" w:rsidRPr="003B37EA" w:rsidTr="001C2428">
        <w:tc>
          <w:tcPr>
            <w:tcW w:w="2663" w:type="dxa"/>
            <w:gridSpan w:val="2"/>
          </w:tcPr>
          <w:p w:rsidR="001C2428" w:rsidRPr="003B37EA" w:rsidRDefault="001C2428" w:rsidP="001C2428">
            <w:pPr>
              <w:autoSpaceDE w:val="0"/>
              <w:autoSpaceDN w:val="0"/>
              <w:adjustRightInd w:val="0"/>
              <w:spacing w:line="360" w:lineRule="auto"/>
              <w:jc w:val="center"/>
              <w:rPr>
                <w:color w:val="000000"/>
              </w:rPr>
            </w:pPr>
            <w:r w:rsidRPr="003B37EA">
              <w:rPr>
                <w:color w:val="000000"/>
              </w:rPr>
              <w:t>Auteur</w:t>
            </w:r>
          </w:p>
        </w:tc>
        <w:tc>
          <w:tcPr>
            <w:tcW w:w="6201" w:type="dxa"/>
          </w:tcPr>
          <w:p w:rsidR="001C2428" w:rsidRPr="003B37EA" w:rsidRDefault="00640E2E" w:rsidP="001C2428">
            <w:pPr>
              <w:autoSpaceDE w:val="0"/>
              <w:autoSpaceDN w:val="0"/>
              <w:adjustRightInd w:val="0"/>
              <w:spacing w:line="360" w:lineRule="auto"/>
              <w:jc w:val="center"/>
              <w:rPr>
                <w:i/>
                <w:color w:val="000000"/>
              </w:rPr>
            </w:pPr>
            <w:r w:rsidRPr="003B37EA">
              <w:rPr>
                <w:i/>
                <w:color w:val="000000"/>
              </w:rPr>
              <w:t>Bakeu Gonhoko Jean-Macaire</w:t>
            </w:r>
          </w:p>
        </w:tc>
      </w:tr>
      <w:tr w:rsidR="001C2428" w:rsidRPr="003B37EA" w:rsidTr="001C2428">
        <w:tc>
          <w:tcPr>
            <w:tcW w:w="1110" w:type="dxa"/>
            <w:vMerge w:val="restart"/>
          </w:tcPr>
          <w:p w:rsidR="001C2428" w:rsidRPr="003B37EA" w:rsidRDefault="001C2428" w:rsidP="001C2428">
            <w:pPr>
              <w:autoSpaceDE w:val="0"/>
              <w:autoSpaceDN w:val="0"/>
              <w:adjustRightInd w:val="0"/>
              <w:spacing w:line="360" w:lineRule="auto"/>
              <w:rPr>
                <w:color w:val="000000"/>
              </w:rPr>
            </w:pPr>
            <w:r w:rsidRPr="003B37EA">
              <w:rPr>
                <w:color w:val="000000"/>
              </w:rPr>
              <w:t xml:space="preserve">Résumé </w:t>
            </w:r>
          </w:p>
        </w:tc>
        <w:tc>
          <w:tcPr>
            <w:tcW w:w="1553" w:type="dxa"/>
          </w:tcPr>
          <w:p w:rsidR="001C2428" w:rsidRPr="003B37EA" w:rsidRDefault="003B37EA" w:rsidP="001C2428">
            <w:pPr>
              <w:autoSpaceDE w:val="0"/>
              <w:autoSpaceDN w:val="0"/>
              <w:adjustRightInd w:val="0"/>
              <w:spacing w:line="360" w:lineRule="auto"/>
              <w:rPr>
                <w:i/>
                <w:color w:val="000000"/>
              </w:rPr>
            </w:pPr>
            <w:r>
              <w:rPr>
                <w:i/>
                <w:color w:val="000000"/>
              </w:rPr>
              <w:t>Objectifs</w:t>
            </w:r>
          </w:p>
        </w:tc>
        <w:tc>
          <w:tcPr>
            <w:tcW w:w="6201" w:type="dxa"/>
          </w:tcPr>
          <w:p w:rsidR="003B37EA" w:rsidRPr="003B2C5F" w:rsidRDefault="003B37EA" w:rsidP="003B37EA">
            <w:pPr>
              <w:spacing w:line="360" w:lineRule="auto"/>
              <w:contextualSpacing/>
              <w:jc w:val="both"/>
              <w:rPr>
                <w:b/>
                <w:i/>
              </w:rPr>
            </w:pPr>
            <w:r w:rsidRPr="003B2C5F">
              <w:rPr>
                <w:b/>
                <w:i/>
              </w:rPr>
              <w:t>Objectif</w:t>
            </w:r>
            <w:r w:rsidR="002D1602">
              <w:rPr>
                <w:b/>
                <w:i/>
              </w:rPr>
              <w:t xml:space="preserve">   </w:t>
            </w:r>
            <w:bookmarkStart w:id="0" w:name="_GoBack"/>
            <w:bookmarkEnd w:id="0"/>
          </w:p>
          <w:p w:rsidR="003B37EA" w:rsidRPr="003B2C5F" w:rsidRDefault="003B37EA" w:rsidP="003B37EA">
            <w:pPr>
              <w:spacing w:line="360" w:lineRule="auto"/>
              <w:contextualSpacing/>
              <w:jc w:val="both"/>
              <w:rPr>
                <w:i/>
              </w:rPr>
            </w:pPr>
            <w:r w:rsidRPr="003B2C5F">
              <w:rPr>
                <w:i/>
              </w:rPr>
              <w:t>L’objectif principal de cette étude est d’élaborer un plan d’investissement pour fournir des arguments de plaidoyer en vue de la mobilisation d’un financement additionnel en vue de l’accélération du programme de vaccination</w:t>
            </w:r>
            <w:r w:rsidR="002402E8">
              <w:rPr>
                <w:i/>
              </w:rPr>
              <w:t xml:space="preserve"> plus </w:t>
            </w:r>
            <w:r w:rsidRPr="003B2C5F">
              <w:rPr>
                <w:i/>
              </w:rPr>
              <w:t>au Bénin.</w:t>
            </w:r>
          </w:p>
          <w:p w:rsidR="003B37EA" w:rsidRPr="003B2C5F" w:rsidRDefault="003B37EA" w:rsidP="003B37EA">
            <w:pPr>
              <w:pStyle w:val="Textebrut"/>
              <w:spacing w:line="360" w:lineRule="auto"/>
              <w:jc w:val="both"/>
              <w:outlineLvl w:val="1"/>
              <w:rPr>
                <w:rFonts w:ascii="Times New Roman" w:hAnsi="Times New Roman" w:cs="Times New Roman"/>
                <w:b/>
                <w:i/>
                <w:sz w:val="24"/>
                <w:szCs w:val="24"/>
              </w:rPr>
            </w:pPr>
            <w:bookmarkStart w:id="1" w:name="_Toc524893240"/>
            <w:r w:rsidRPr="003B2C5F">
              <w:rPr>
                <w:rFonts w:ascii="Times New Roman" w:hAnsi="Times New Roman" w:cs="Times New Roman"/>
                <w:b/>
                <w:i/>
                <w:sz w:val="24"/>
                <w:szCs w:val="24"/>
              </w:rPr>
              <w:t>Objectifs spécifiques</w:t>
            </w:r>
            <w:bookmarkEnd w:id="1"/>
          </w:p>
          <w:p w:rsidR="003B37EA" w:rsidRPr="003B2C5F" w:rsidRDefault="003B37EA" w:rsidP="003B37EA">
            <w:pPr>
              <w:spacing w:line="360" w:lineRule="auto"/>
              <w:contextualSpacing/>
              <w:jc w:val="both"/>
              <w:rPr>
                <w:i/>
                <w:snapToGrid w:val="0"/>
              </w:rPr>
            </w:pPr>
            <w:r w:rsidRPr="003B2C5F">
              <w:rPr>
                <w:i/>
                <w:snapToGrid w:val="0"/>
              </w:rPr>
              <w:t>Les objectifs spécifiques s’articulent autour des points suivants :</w:t>
            </w:r>
          </w:p>
          <w:p w:rsidR="003B37EA" w:rsidRPr="003B2C5F" w:rsidRDefault="003B37EA" w:rsidP="003B37EA">
            <w:pPr>
              <w:pStyle w:val="Paragraphedeliste"/>
              <w:numPr>
                <w:ilvl w:val="0"/>
                <w:numId w:val="1"/>
              </w:numPr>
              <w:spacing w:line="360" w:lineRule="auto"/>
              <w:jc w:val="both"/>
              <w:rPr>
                <w:i/>
                <w:snapToGrid w:val="0"/>
              </w:rPr>
            </w:pPr>
            <w:r w:rsidRPr="003B2C5F">
              <w:rPr>
                <w:i/>
                <w:snapToGrid w:val="0"/>
              </w:rPr>
              <w:t xml:space="preserve">Faire une </w:t>
            </w:r>
            <w:r w:rsidRPr="003B2C5F">
              <w:rPr>
                <w:i/>
                <w:snapToGrid w:val="0"/>
              </w:rPr>
              <w:t>estimation</w:t>
            </w:r>
            <w:r w:rsidRPr="003B2C5F">
              <w:rPr>
                <w:i/>
                <w:snapToGrid w:val="0"/>
              </w:rPr>
              <w:t xml:space="preserve"> des coûts et impacts additionnels pour l’accélération de la PEV de routine ;</w:t>
            </w:r>
          </w:p>
          <w:p w:rsidR="003B37EA" w:rsidRPr="003B2C5F" w:rsidRDefault="003B37EA" w:rsidP="003B37EA">
            <w:pPr>
              <w:pStyle w:val="Paragraphedeliste"/>
              <w:numPr>
                <w:ilvl w:val="0"/>
                <w:numId w:val="1"/>
              </w:numPr>
              <w:spacing w:line="360" w:lineRule="auto"/>
              <w:jc w:val="both"/>
              <w:rPr>
                <w:i/>
                <w:snapToGrid w:val="0"/>
              </w:rPr>
            </w:pPr>
            <w:r w:rsidRPr="003B2C5F">
              <w:rPr>
                <w:i/>
                <w:snapToGrid w:val="0"/>
              </w:rPr>
              <w:t>Développer des scénarii réalistes pour accélérer le programme de vaccination </w:t>
            </w:r>
            <w:r w:rsidR="0098534F">
              <w:rPr>
                <w:i/>
                <w:snapToGrid w:val="0"/>
              </w:rPr>
              <w:t xml:space="preserve">plus </w:t>
            </w:r>
            <w:r w:rsidRPr="003B2C5F">
              <w:rPr>
                <w:i/>
                <w:snapToGrid w:val="0"/>
              </w:rPr>
              <w:t>;</w:t>
            </w:r>
            <w:r w:rsidR="00887DD0">
              <w:rPr>
                <w:i/>
                <w:snapToGrid w:val="0"/>
              </w:rPr>
              <w:t xml:space="preserve"> </w:t>
            </w:r>
          </w:p>
          <w:p w:rsidR="003E7972" w:rsidRPr="003B2C5F" w:rsidRDefault="003E7972" w:rsidP="00371210">
            <w:pPr>
              <w:spacing w:before="120" w:line="360" w:lineRule="auto"/>
              <w:jc w:val="both"/>
              <w:rPr>
                <w:i/>
                <w:color w:val="000000"/>
              </w:rPr>
            </w:pPr>
          </w:p>
        </w:tc>
      </w:tr>
      <w:tr w:rsidR="001C2428" w:rsidRPr="00331E0A" w:rsidTr="001C2428">
        <w:trPr>
          <w:trHeight w:val="416"/>
        </w:trPr>
        <w:tc>
          <w:tcPr>
            <w:tcW w:w="1110" w:type="dxa"/>
            <w:vMerge/>
          </w:tcPr>
          <w:p w:rsidR="001C2428" w:rsidRPr="00331E0A" w:rsidRDefault="001C2428" w:rsidP="00331E0A">
            <w:pPr>
              <w:spacing w:before="120" w:line="360" w:lineRule="auto"/>
              <w:jc w:val="both"/>
              <w:rPr>
                <w:i/>
                <w:color w:val="000000"/>
              </w:rPr>
            </w:pPr>
          </w:p>
        </w:tc>
        <w:tc>
          <w:tcPr>
            <w:tcW w:w="1553" w:type="dxa"/>
          </w:tcPr>
          <w:p w:rsidR="001C2428" w:rsidRPr="003B37EA" w:rsidRDefault="001C2428" w:rsidP="00331E0A">
            <w:pPr>
              <w:spacing w:before="120" w:line="360" w:lineRule="auto"/>
              <w:jc w:val="both"/>
              <w:rPr>
                <w:i/>
                <w:color w:val="000000"/>
              </w:rPr>
            </w:pPr>
            <w:r w:rsidRPr="003B37EA">
              <w:rPr>
                <w:i/>
                <w:color w:val="000000"/>
              </w:rPr>
              <w:t>Méthode</w:t>
            </w:r>
          </w:p>
        </w:tc>
        <w:tc>
          <w:tcPr>
            <w:tcW w:w="6201" w:type="dxa"/>
          </w:tcPr>
          <w:p w:rsidR="001C2428" w:rsidRDefault="003B0F7A" w:rsidP="00371210">
            <w:pPr>
              <w:spacing w:before="120" w:line="360" w:lineRule="auto"/>
              <w:jc w:val="both"/>
              <w:rPr>
                <w:i/>
                <w:color w:val="000000"/>
              </w:rPr>
            </w:pPr>
            <w:r w:rsidRPr="003B0F7A">
              <w:rPr>
                <w:i/>
                <w:color w:val="000000"/>
              </w:rPr>
              <w:t>L'élaboration d</w:t>
            </w:r>
            <w:r w:rsidRPr="003B2C5F">
              <w:rPr>
                <w:i/>
                <w:color w:val="000000"/>
              </w:rPr>
              <w:t>e l’</w:t>
            </w:r>
            <w:proofErr w:type="spellStart"/>
            <w:r w:rsidRPr="003B2C5F">
              <w:rPr>
                <w:i/>
                <w:color w:val="000000"/>
              </w:rPr>
              <w:t>investment</w:t>
            </w:r>
            <w:proofErr w:type="spellEnd"/>
            <w:r w:rsidRPr="003B2C5F">
              <w:rPr>
                <w:i/>
                <w:color w:val="000000"/>
              </w:rPr>
              <w:t xml:space="preserve"> case </w:t>
            </w:r>
            <w:r w:rsidRPr="003B0F7A">
              <w:rPr>
                <w:i/>
                <w:color w:val="000000"/>
              </w:rPr>
              <w:t xml:space="preserve">a été facilité par l’usage de la plateforme EQUIST et de l'outil </w:t>
            </w:r>
            <w:proofErr w:type="spellStart"/>
            <w:r w:rsidRPr="003B0F7A">
              <w:rPr>
                <w:i/>
                <w:color w:val="000000"/>
              </w:rPr>
              <w:t>OneHealth</w:t>
            </w:r>
            <w:proofErr w:type="spellEnd"/>
            <w:r w:rsidRPr="003B0F7A">
              <w:rPr>
                <w:i/>
                <w:color w:val="000000"/>
              </w:rPr>
              <w:t xml:space="preserve"> (OH</w:t>
            </w:r>
            <w:r w:rsidRPr="003B2C5F">
              <w:rPr>
                <w:i/>
                <w:color w:val="000000"/>
              </w:rPr>
              <w:t>T).</w:t>
            </w:r>
            <w:r w:rsidR="008F01FF" w:rsidRPr="003B2C5F">
              <w:rPr>
                <w:i/>
                <w:color w:val="000000"/>
              </w:rPr>
              <w:t xml:space="preserve"> </w:t>
            </w:r>
            <w:proofErr w:type="spellStart"/>
            <w:r w:rsidR="00CE593D" w:rsidRPr="003B2C5F">
              <w:rPr>
                <w:i/>
                <w:color w:val="000000"/>
              </w:rPr>
              <w:t>Equist</w:t>
            </w:r>
            <w:proofErr w:type="spellEnd"/>
            <w:r w:rsidR="00CE593D" w:rsidRPr="003B2C5F">
              <w:rPr>
                <w:i/>
                <w:color w:val="000000"/>
              </w:rPr>
              <w:t xml:space="preserve"> est un outil</w:t>
            </w:r>
            <w:r w:rsidR="008F01FF" w:rsidRPr="003B2C5F">
              <w:rPr>
                <w:i/>
                <w:color w:val="000000"/>
              </w:rPr>
              <w:t xml:space="preserve"> </w:t>
            </w:r>
            <w:r w:rsidR="003B37EA" w:rsidRPr="003B2C5F">
              <w:rPr>
                <w:i/>
                <w:color w:val="000000"/>
              </w:rPr>
              <w:t xml:space="preserve">qui permet </w:t>
            </w:r>
            <w:r w:rsidR="008F01FF" w:rsidRPr="003B2C5F">
              <w:rPr>
                <w:i/>
                <w:color w:val="000000"/>
              </w:rPr>
              <w:t>de</w:t>
            </w:r>
            <w:r w:rsidR="00CE593D" w:rsidRPr="003B2C5F">
              <w:rPr>
                <w:i/>
                <w:color w:val="000000"/>
              </w:rPr>
              <w:t xml:space="preserve"> déterminer les populations défavorisées, pourquoi elles sont défavorisées</w:t>
            </w:r>
            <w:r w:rsidR="003B2C5F">
              <w:rPr>
                <w:i/>
                <w:color w:val="000000"/>
              </w:rPr>
              <w:t xml:space="preserve">, l’analyse des goulots </w:t>
            </w:r>
            <w:r w:rsidR="00CE593D" w:rsidRPr="003B2C5F">
              <w:rPr>
                <w:i/>
                <w:color w:val="000000"/>
              </w:rPr>
              <w:t>et quelles combinaisons d'interventions à haut impacts fondé</w:t>
            </w:r>
            <w:r w:rsidR="003B2C5F">
              <w:rPr>
                <w:i/>
                <w:color w:val="000000"/>
              </w:rPr>
              <w:t>e</w:t>
            </w:r>
            <w:r w:rsidR="00CE593D" w:rsidRPr="003B2C5F">
              <w:rPr>
                <w:i/>
                <w:color w:val="000000"/>
              </w:rPr>
              <w:t>s sur des données probantes et des stratégies de renforcement des systèmes de santé</w:t>
            </w:r>
            <w:r w:rsidR="003B2C5F">
              <w:rPr>
                <w:i/>
                <w:color w:val="000000"/>
              </w:rPr>
              <w:t>,</w:t>
            </w:r>
            <w:r w:rsidR="00CE593D" w:rsidRPr="003B2C5F">
              <w:rPr>
                <w:i/>
                <w:color w:val="000000"/>
              </w:rPr>
              <w:t xml:space="preserve"> produiraient les meilleurs résultats. </w:t>
            </w:r>
            <w:r w:rsidR="00CE593D" w:rsidRPr="003B2C5F">
              <w:rPr>
                <w:i/>
                <w:color w:val="000000"/>
              </w:rPr>
              <w:t xml:space="preserve">Alors que </w:t>
            </w:r>
            <w:r w:rsidR="00371210" w:rsidRPr="003B2C5F">
              <w:rPr>
                <w:i/>
                <w:color w:val="000000"/>
              </w:rPr>
              <w:t>l’</w:t>
            </w:r>
            <w:r w:rsidR="00CE593D" w:rsidRPr="003B2C5F">
              <w:rPr>
                <w:i/>
                <w:color w:val="000000"/>
              </w:rPr>
              <w:t xml:space="preserve">OHT permet de </w:t>
            </w:r>
            <w:r w:rsidR="00371210" w:rsidRPr="003B2C5F">
              <w:rPr>
                <w:i/>
                <w:color w:val="000000"/>
              </w:rPr>
              <w:t xml:space="preserve">déterminer </w:t>
            </w:r>
            <w:r w:rsidR="003B37EA" w:rsidRPr="003B2C5F">
              <w:rPr>
                <w:i/>
                <w:color w:val="000000"/>
              </w:rPr>
              <w:t xml:space="preserve">le budget et </w:t>
            </w:r>
            <w:r w:rsidR="00371210" w:rsidRPr="003B2C5F">
              <w:rPr>
                <w:i/>
                <w:color w:val="000000"/>
              </w:rPr>
              <w:t>les impacts en termes de vies de sauvées</w:t>
            </w:r>
            <w:r w:rsidR="008F01FF" w:rsidRPr="003B2C5F">
              <w:rPr>
                <w:i/>
                <w:color w:val="000000"/>
              </w:rPr>
              <w:t xml:space="preserve"> par antigène et par intervention.</w:t>
            </w:r>
          </w:p>
          <w:p w:rsidR="0085383F" w:rsidRPr="00331E0A" w:rsidRDefault="0085383F" w:rsidP="00331E0A">
            <w:pPr>
              <w:spacing w:before="120" w:line="360" w:lineRule="auto"/>
              <w:jc w:val="both"/>
              <w:rPr>
                <w:i/>
                <w:color w:val="000000"/>
              </w:rPr>
            </w:pPr>
            <w:r w:rsidRPr="00331E0A">
              <w:rPr>
                <w:i/>
                <w:color w:val="000000"/>
              </w:rPr>
              <w:t>T</w:t>
            </w:r>
            <w:r w:rsidRPr="00331E0A">
              <w:rPr>
                <w:i/>
                <w:color w:val="000000"/>
              </w:rPr>
              <w:t>rois scénari</w:t>
            </w:r>
            <w:r w:rsidRPr="00331E0A">
              <w:rPr>
                <w:i/>
                <w:color w:val="000000"/>
              </w:rPr>
              <w:t>i</w:t>
            </w:r>
            <w:r w:rsidRPr="00331E0A">
              <w:rPr>
                <w:i/>
                <w:color w:val="000000"/>
              </w:rPr>
              <w:t xml:space="preserve"> sur la base des indicateurs composites</w:t>
            </w:r>
            <w:r w:rsidR="00331E0A" w:rsidRPr="00331E0A">
              <w:rPr>
                <w:i/>
                <w:color w:val="000000"/>
              </w:rPr>
              <w:t xml:space="preserve"> ont été adoptés</w:t>
            </w:r>
            <w:r w:rsidRPr="00331E0A">
              <w:rPr>
                <w:i/>
                <w:color w:val="000000"/>
              </w:rPr>
              <w:t xml:space="preserve">. Pour tenir compte de l’équité, permettant </w:t>
            </w:r>
            <w:r w:rsidR="00331E0A" w:rsidRPr="00331E0A">
              <w:rPr>
                <w:i/>
                <w:color w:val="000000"/>
              </w:rPr>
              <w:t>la</w:t>
            </w:r>
            <w:r w:rsidRPr="00331E0A">
              <w:rPr>
                <w:i/>
                <w:color w:val="000000"/>
              </w:rPr>
              <w:t xml:space="preserve"> priorisation des régions, plusieurs critères tels que le taux de couverture vaccinale, le taux de mortalité (sévérité) et le nombre d’enfants décédés (grandeur) ont été définis et ont permis de sélectionner des régions prioritaires suivant 3 pôles pour la modélisation. </w:t>
            </w:r>
          </w:p>
          <w:p w:rsidR="0085383F" w:rsidRPr="00331E0A" w:rsidRDefault="0085383F" w:rsidP="00331E0A">
            <w:pPr>
              <w:spacing w:before="120" w:line="360" w:lineRule="auto"/>
              <w:jc w:val="both"/>
              <w:rPr>
                <w:i/>
                <w:color w:val="000000"/>
              </w:rPr>
            </w:pPr>
            <w:r w:rsidRPr="00331E0A">
              <w:rPr>
                <w:i/>
                <w:color w:val="000000"/>
              </w:rPr>
              <w:lastRenderedPageBreak/>
              <w:t xml:space="preserve">Le </w:t>
            </w:r>
            <w:r w:rsidR="00690A4A">
              <w:rPr>
                <w:i/>
                <w:color w:val="000000"/>
              </w:rPr>
              <w:t>scénario</w:t>
            </w:r>
            <w:r w:rsidRPr="00331E0A">
              <w:rPr>
                <w:i/>
                <w:color w:val="000000"/>
              </w:rPr>
              <w:t xml:space="preserve">1 est composé des régions de Alibori, </w:t>
            </w:r>
            <w:proofErr w:type="spellStart"/>
            <w:r w:rsidRPr="00331E0A">
              <w:rPr>
                <w:i/>
                <w:color w:val="000000"/>
              </w:rPr>
              <w:t>Couffo</w:t>
            </w:r>
            <w:proofErr w:type="spellEnd"/>
            <w:r w:rsidRPr="00331E0A">
              <w:rPr>
                <w:i/>
                <w:color w:val="000000"/>
              </w:rPr>
              <w:t xml:space="preserve">, Ouémé et Plateau. </w:t>
            </w:r>
          </w:p>
          <w:p w:rsidR="0085383F" w:rsidRPr="00331E0A" w:rsidRDefault="0085383F" w:rsidP="00331E0A">
            <w:pPr>
              <w:spacing w:before="120" w:line="360" w:lineRule="auto"/>
              <w:jc w:val="both"/>
              <w:rPr>
                <w:i/>
                <w:color w:val="000000"/>
              </w:rPr>
            </w:pPr>
            <w:r w:rsidRPr="00331E0A">
              <w:rPr>
                <w:i/>
                <w:color w:val="000000"/>
              </w:rPr>
              <w:t xml:space="preserve">Le </w:t>
            </w:r>
            <w:r w:rsidR="005D6C16">
              <w:rPr>
                <w:i/>
                <w:color w:val="000000"/>
              </w:rPr>
              <w:t>scénario</w:t>
            </w:r>
            <w:r w:rsidRPr="00331E0A">
              <w:rPr>
                <w:i/>
                <w:color w:val="000000"/>
              </w:rPr>
              <w:t xml:space="preserve"> 2 regroupe les régions du pôle 1 auquel s’ajoutent les régions </w:t>
            </w:r>
            <w:proofErr w:type="gramStart"/>
            <w:r w:rsidRPr="00331E0A">
              <w:rPr>
                <w:i/>
                <w:color w:val="000000"/>
              </w:rPr>
              <w:t>de Atlantique</w:t>
            </w:r>
            <w:proofErr w:type="gramEnd"/>
            <w:r w:rsidRPr="00331E0A">
              <w:rPr>
                <w:i/>
                <w:color w:val="000000"/>
              </w:rPr>
              <w:t xml:space="preserve">, </w:t>
            </w:r>
            <w:proofErr w:type="spellStart"/>
            <w:r w:rsidRPr="00331E0A">
              <w:rPr>
                <w:i/>
                <w:color w:val="000000"/>
              </w:rPr>
              <w:t>Borgou</w:t>
            </w:r>
            <w:proofErr w:type="spellEnd"/>
            <w:r w:rsidRPr="00331E0A">
              <w:rPr>
                <w:i/>
                <w:color w:val="000000"/>
              </w:rPr>
              <w:t xml:space="preserve">, Collines et Zou. </w:t>
            </w:r>
          </w:p>
          <w:p w:rsidR="0085383F" w:rsidRPr="00331E0A" w:rsidRDefault="0085383F" w:rsidP="00331E0A">
            <w:pPr>
              <w:spacing w:before="120" w:line="360" w:lineRule="auto"/>
              <w:jc w:val="both"/>
              <w:rPr>
                <w:i/>
                <w:color w:val="000000"/>
              </w:rPr>
            </w:pPr>
            <w:r w:rsidRPr="00331E0A">
              <w:rPr>
                <w:i/>
                <w:color w:val="000000"/>
              </w:rPr>
              <w:t>Le</w:t>
            </w:r>
            <w:r w:rsidR="005D6C16">
              <w:rPr>
                <w:i/>
                <w:color w:val="000000"/>
              </w:rPr>
              <w:t xml:space="preserve"> </w:t>
            </w:r>
            <w:r w:rsidR="005D6C16">
              <w:rPr>
                <w:i/>
                <w:color w:val="000000"/>
              </w:rPr>
              <w:t>scénario</w:t>
            </w:r>
            <w:r w:rsidRPr="00331E0A">
              <w:rPr>
                <w:i/>
                <w:color w:val="000000"/>
              </w:rPr>
              <w:t xml:space="preserve"> 3, prend en compte toutes les régions. </w:t>
            </w:r>
          </w:p>
          <w:p w:rsidR="0085383F" w:rsidRPr="003B2C5F" w:rsidRDefault="0085383F" w:rsidP="00371210">
            <w:pPr>
              <w:spacing w:before="120" w:line="360" w:lineRule="auto"/>
              <w:jc w:val="both"/>
              <w:rPr>
                <w:i/>
                <w:color w:val="000000"/>
              </w:rPr>
            </w:pPr>
          </w:p>
        </w:tc>
      </w:tr>
      <w:tr w:rsidR="001C2428" w:rsidRPr="00331E0A" w:rsidTr="001C2428">
        <w:trPr>
          <w:trHeight w:val="991"/>
        </w:trPr>
        <w:tc>
          <w:tcPr>
            <w:tcW w:w="1110" w:type="dxa"/>
            <w:vMerge/>
          </w:tcPr>
          <w:p w:rsidR="001C2428" w:rsidRPr="00331E0A" w:rsidRDefault="001C2428" w:rsidP="00331E0A">
            <w:pPr>
              <w:spacing w:before="120" w:line="360" w:lineRule="auto"/>
              <w:jc w:val="both"/>
              <w:rPr>
                <w:i/>
                <w:color w:val="000000"/>
              </w:rPr>
            </w:pPr>
          </w:p>
        </w:tc>
        <w:tc>
          <w:tcPr>
            <w:tcW w:w="1553" w:type="dxa"/>
          </w:tcPr>
          <w:p w:rsidR="001C2428" w:rsidRPr="003B37EA" w:rsidRDefault="001C2428" w:rsidP="00331E0A">
            <w:pPr>
              <w:spacing w:before="120" w:line="360" w:lineRule="auto"/>
              <w:jc w:val="both"/>
              <w:rPr>
                <w:i/>
                <w:color w:val="000000"/>
              </w:rPr>
            </w:pPr>
            <w:r w:rsidRPr="003B37EA">
              <w:rPr>
                <w:i/>
                <w:color w:val="000000"/>
              </w:rPr>
              <w:t>Résultats</w:t>
            </w:r>
          </w:p>
        </w:tc>
        <w:tc>
          <w:tcPr>
            <w:tcW w:w="6201" w:type="dxa"/>
          </w:tcPr>
          <w:p w:rsidR="001C2428" w:rsidRPr="003B2C5F" w:rsidRDefault="00744572" w:rsidP="00331E0A">
            <w:pPr>
              <w:spacing w:before="120" w:line="360" w:lineRule="auto"/>
              <w:jc w:val="both"/>
              <w:rPr>
                <w:i/>
                <w:color w:val="000000"/>
              </w:rPr>
            </w:pPr>
            <w:r w:rsidRPr="003B2C5F">
              <w:rPr>
                <w:i/>
                <w:color w:val="000000"/>
              </w:rPr>
              <w:t>La stratégie d’investissement proposée dans ce document pour le plaidoyer dans la mobilisation de ressources additionnelles pour la vaccination</w:t>
            </w:r>
            <w:r w:rsidR="00DE4539">
              <w:rPr>
                <w:i/>
                <w:color w:val="000000"/>
              </w:rPr>
              <w:t xml:space="preserve"> plus</w:t>
            </w:r>
            <w:r w:rsidRPr="003B2C5F">
              <w:rPr>
                <w:i/>
                <w:color w:val="000000"/>
              </w:rPr>
              <w:t xml:space="preserve"> au </w:t>
            </w:r>
            <w:r w:rsidR="00331E0A">
              <w:rPr>
                <w:i/>
                <w:color w:val="000000"/>
              </w:rPr>
              <w:t>B</w:t>
            </w:r>
            <w:r w:rsidRPr="003B2C5F">
              <w:rPr>
                <w:i/>
                <w:color w:val="000000"/>
              </w:rPr>
              <w:t>énin pourrait permettre de sauver 1838 enfants d’ici 2023 pour l’ensemble des trois scénari</w:t>
            </w:r>
            <w:r w:rsidR="00252F2D">
              <w:rPr>
                <w:i/>
                <w:color w:val="000000"/>
              </w:rPr>
              <w:t>i</w:t>
            </w:r>
            <w:r w:rsidRPr="003B2C5F">
              <w:rPr>
                <w:i/>
                <w:color w:val="000000"/>
              </w:rPr>
              <w:t>. Et en considérant d’atteindre un objectif de couverture de 90% d’ici 2023 pour le penta3, le nombre d’enfants non vaccinés, serait réduit en passant de 113 597 enfants non vaccinés en penta 3 en 2018 à 51 105 enfants non vaccinés en 2023 au niveau national. Et les coûts additionnels nécessaires à l’atteinte de ces résultats sont estimés en moyenne à 3,65 $ US par habitant, soit 2005 FCFA par habitant.</w:t>
            </w:r>
          </w:p>
        </w:tc>
      </w:tr>
      <w:tr w:rsidR="001C2428" w:rsidRPr="00331E0A" w:rsidTr="001C2428">
        <w:tc>
          <w:tcPr>
            <w:tcW w:w="1110" w:type="dxa"/>
            <w:vMerge/>
          </w:tcPr>
          <w:p w:rsidR="001C2428" w:rsidRPr="00331E0A" w:rsidRDefault="001C2428" w:rsidP="00331E0A">
            <w:pPr>
              <w:spacing w:before="120" w:line="360" w:lineRule="auto"/>
              <w:jc w:val="both"/>
              <w:rPr>
                <w:i/>
                <w:color w:val="000000"/>
              </w:rPr>
            </w:pPr>
          </w:p>
        </w:tc>
        <w:tc>
          <w:tcPr>
            <w:tcW w:w="1553" w:type="dxa"/>
          </w:tcPr>
          <w:p w:rsidR="001C2428" w:rsidRPr="003B37EA" w:rsidRDefault="001C2428" w:rsidP="00331E0A">
            <w:pPr>
              <w:spacing w:before="120" w:line="360" w:lineRule="auto"/>
              <w:jc w:val="both"/>
              <w:rPr>
                <w:i/>
                <w:color w:val="000000"/>
              </w:rPr>
            </w:pPr>
            <w:r w:rsidRPr="003B37EA">
              <w:rPr>
                <w:i/>
                <w:color w:val="000000"/>
              </w:rPr>
              <w:t>Conclusion</w:t>
            </w:r>
          </w:p>
        </w:tc>
        <w:tc>
          <w:tcPr>
            <w:tcW w:w="6201" w:type="dxa"/>
          </w:tcPr>
          <w:p w:rsidR="001C2428" w:rsidRPr="003B37EA" w:rsidRDefault="00367D92" w:rsidP="00331E0A">
            <w:pPr>
              <w:spacing w:before="120" w:line="360" w:lineRule="auto"/>
              <w:jc w:val="both"/>
              <w:rPr>
                <w:i/>
                <w:color w:val="000000"/>
              </w:rPr>
            </w:pPr>
            <w:r w:rsidRPr="003B37EA">
              <w:rPr>
                <w:i/>
                <w:color w:val="000000"/>
              </w:rPr>
              <w:t>L’</w:t>
            </w:r>
            <w:r w:rsidR="009D4ACF" w:rsidRPr="003B37EA">
              <w:rPr>
                <w:i/>
                <w:color w:val="000000"/>
              </w:rPr>
              <w:t>Investment</w:t>
            </w:r>
            <w:r w:rsidR="000B15AD" w:rsidRPr="003B37EA">
              <w:rPr>
                <w:i/>
                <w:color w:val="000000"/>
              </w:rPr>
              <w:t xml:space="preserve"> case est un outil de plaidoyer</w:t>
            </w:r>
            <w:r w:rsidRPr="003B37EA">
              <w:rPr>
                <w:i/>
                <w:color w:val="000000"/>
              </w:rPr>
              <w:t xml:space="preserve">, </w:t>
            </w:r>
            <w:r w:rsidR="009D4ACF" w:rsidRPr="003B37EA">
              <w:rPr>
                <w:i/>
                <w:color w:val="000000"/>
              </w:rPr>
              <w:t xml:space="preserve">qui permet d’allier </w:t>
            </w:r>
            <w:proofErr w:type="gramStart"/>
            <w:r w:rsidR="009D4ACF" w:rsidRPr="003B37EA">
              <w:rPr>
                <w:i/>
                <w:color w:val="000000"/>
              </w:rPr>
              <w:t>équité</w:t>
            </w:r>
            <w:proofErr w:type="gramEnd"/>
            <w:r w:rsidR="009D4ACF" w:rsidRPr="003B37EA">
              <w:rPr>
                <w:i/>
                <w:color w:val="000000"/>
              </w:rPr>
              <w:t xml:space="preserve"> </w:t>
            </w:r>
            <w:r w:rsidR="001A7C36">
              <w:rPr>
                <w:i/>
                <w:color w:val="000000"/>
              </w:rPr>
              <w:t xml:space="preserve">au </w:t>
            </w:r>
            <w:r w:rsidR="009D4ACF" w:rsidRPr="003B37EA">
              <w:rPr>
                <w:i/>
                <w:color w:val="000000"/>
              </w:rPr>
              <w:t xml:space="preserve">budget et </w:t>
            </w:r>
            <w:r w:rsidR="001A7C36">
              <w:rPr>
                <w:i/>
                <w:color w:val="000000"/>
              </w:rPr>
              <w:t xml:space="preserve">aux </w:t>
            </w:r>
            <w:r w:rsidR="009D4ACF" w:rsidRPr="003B37EA">
              <w:rPr>
                <w:i/>
                <w:color w:val="000000"/>
              </w:rPr>
              <w:t>impact</w:t>
            </w:r>
            <w:r w:rsidR="001A7C36">
              <w:rPr>
                <w:i/>
                <w:color w:val="000000"/>
              </w:rPr>
              <w:t>s</w:t>
            </w:r>
            <w:r w:rsidR="009D4ACF" w:rsidRPr="003B37EA">
              <w:rPr>
                <w:i/>
                <w:color w:val="000000"/>
              </w:rPr>
              <w:t xml:space="preserve"> des interventions.</w:t>
            </w:r>
            <w:r w:rsidR="00690A4A">
              <w:rPr>
                <w:i/>
                <w:color w:val="000000"/>
              </w:rPr>
              <w:t xml:space="preserve"> Il </w:t>
            </w:r>
            <w:proofErr w:type="gramStart"/>
            <w:r w:rsidR="00690A4A">
              <w:rPr>
                <w:i/>
                <w:color w:val="000000"/>
              </w:rPr>
              <w:t>permet  de</w:t>
            </w:r>
            <w:proofErr w:type="gramEnd"/>
            <w:r w:rsidR="00690A4A">
              <w:rPr>
                <w:i/>
                <w:color w:val="000000"/>
              </w:rPr>
              <w:t xml:space="preserve"> mobiliser des ressources additionnelles pour le renforcement des systèmes de santé. </w:t>
            </w:r>
          </w:p>
        </w:tc>
      </w:tr>
      <w:tr w:rsidR="001C2428" w:rsidRPr="00331E0A" w:rsidTr="001C2428">
        <w:tc>
          <w:tcPr>
            <w:tcW w:w="2663" w:type="dxa"/>
            <w:gridSpan w:val="2"/>
          </w:tcPr>
          <w:p w:rsidR="001C2428" w:rsidRPr="00331E0A" w:rsidRDefault="001C2428" w:rsidP="00331E0A">
            <w:pPr>
              <w:spacing w:before="120" w:line="360" w:lineRule="auto"/>
              <w:jc w:val="both"/>
              <w:rPr>
                <w:i/>
                <w:color w:val="000000"/>
              </w:rPr>
            </w:pPr>
            <w:r w:rsidRPr="00331E0A">
              <w:rPr>
                <w:i/>
                <w:color w:val="000000"/>
              </w:rPr>
              <w:t>Mots clés (≤5)</w:t>
            </w:r>
          </w:p>
        </w:tc>
        <w:tc>
          <w:tcPr>
            <w:tcW w:w="6201" w:type="dxa"/>
          </w:tcPr>
          <w:p w:rsidR="001C2428" w:rsidRPr="003B37EA" w:rsidRDefault="00744572" w:rsidP="00331E0A">
            <w:pPr>
              <w:spacing w:before="120" w:line="360" w:lineRule="auto"/>
              <w:jc w:val="both"/>
              <w:rPr>
                <w:i/>
                <w:color w:val="000000"/>
              </w:rPr>
            </w:pPr>
            <w:r w:rsidRPr="003B37EA">
              <w:rPr>
                <w:i/>
                <w:color w:val="000000"/>
              </w:rPr>
              <w:t>Investment case</w:t>
            </w:r>
            <w:r w:rsidR="009F67A7" w:rsidRPr="003B37EA">
              <w:rPr>
                <w:i/>
                <w:color w:val="000000"/>
              </w:rPr>
              <w:t>,</w:t>
            </w:r>
            <w:r w:rsidRPr="003B37EA">
              <w:rPr>
                <w:i/>
                <w:color w:val="000000"/>
              </w:rPr>
              <w:t xml:space="preserve"> vaccination plus</w:t>
            </w:r>
            <w:r w:rsidR="000441B1" w:rsidRPr="003B37EA">
              <w:rPr>
                <w:i/>
                <w:color w:val="000000"/>
              </w:rPr>
              <w:t xml:space="preserve">, </w:t>
            </w:r>
            <w:r w:rsidR="000B15AD" w:rsidRPr="003B37EA">
              <w:rPr>
                <w:i/>
                <w:color w:val="000000"/>
              </w:rPr>
              <w:t>Renforcement du Système de Santé, coût par vie sauvées</w:t>
            </w:r>
          </w:p>
        </w:tc>
      </w:tr>
    </w:tbl>
    <w:p w:rsidR="004B5801" w:rsidRPr="00331E0A" w:rsidRDefault="004B5801" w:rsidP="00331E0A">
      <w:pPr>
        <w:spacing w:before="120" w:line="360" w:lineRule="auto"/>
        <w:jc w:val="both"/>
        <w:rPr>
          <w:i/>
          <w:color w:val="000000"/>
        </w:rPr>
      </w:pPr>
    </w:p>
    <w:p w:rsidR="001C2428" w:rsidRDefault="001C2428"/>
    <w:p w:rsidR="001C2428" w:rsidRDefault="001C2428"/>
    <w:p w:rsidR="001C2428" w:rsidRDefault="001C2428"/>
    <w:sectPr w:rsidR="001C24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C55" w:rsidRDefault="00454C55" w:rsidP="00CF41DF">
      <w:r>
        <w:separator/>
      </w:r>
    </w:p>
  </w:endnote>
  <w:endnote w:type="continuationSeparator" w:id="0">
    <w:p w:rsidR="00454C55" w:rsidRDefault="00454C55" w:rsidP="00CF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C55" w:rsidRDefault="00454C55" w:rsidP="00CF41DF">
      <w:r>
        <w:separator/>
      </w:r>
    </w:p>
  </w:footnote>
  <w:footnote w:type="continuationSeparator" w:id="0">
    <w:p w:rsidR="00454C55" w:rsidRDefault="00454C55" w:rsidP="00CF4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35pt;height:11.35pt" o:bullet="t">
        <v:imagedata r:id="rId1" o:title="msoAC0B"/>
      </v:shape>
    </w:pict>
  </w:numPicBullet>
  <w:abstractNum w:abstractNumId="0" w15:restartNumberingAfterBreak="0">
    <w:nsid w:val="49A1612E"/>
    <w:multiLevelType w:val="multilevel"/>
    <w:tmpl w:val="F272B0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DE70D56"/>
    <w:multiLevelType w:val="hybridMultilevel"/>
    <w:tmpl w:val="FBF69B86"/>
    <w:lvl w:ilvl="0" w:tplc="040C0007">
      <w:start w:val="1"/>
      <w:numFmt w:val="bullet"/>
      <w:lvlText w:val=""/>
      <w:lvlPicBulletId w:val="0"/>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28"/>
    <w:rsid w:val="0004063C"/>
    <w:rsid w:val="000441B1"/>
    <w:rsid w:val="000B15AD"/>
    <w:rsid w:val="000B2A24"/>
    <w:rsid w:val="00193661"/>
    <w:rsid w:val="001961A6"/>
    <w:rsid w:val="001A7C36"/>
    <w:rsid w:val="001C2428"/>
    <w:rsid w:val="002402E8"/>
    <w:rsid w:val="00252F2D"/>
    <w:rsid w:val="002560F3"/>
    <w:rsid w:val="002734FB"/>
    <w:rsid w:val="002B4019"/>
    <w:rsid w:val="002D1602"/>
    <w:rsid w:val="00331E0A"/>
    <w:rsid w:val="00367D92"/>
    <w:rsid w:val="00371210"/>
    <w:rsid w:val="003B0F7A"/>
    <w:rsid w:val="003B2C5F"/>
    <w:rsid w:val="003B37EA"/>
    <w:rsid w:val="003D6562"/>
    <w:rsid w:val="003E7972"/>
    <w:rsid w:val="00454C55"/>
    <w:rsid w:val="004B5801"/>
    <w:rsid w:val="004B79C3"/>
    <w:rsid w:val="00590A54"/>
    <w:rsid w:val="005D6C16"/>
    <w:rsid w:val="00612CF2"/>
    <w:rsid w:val="00640E2E"/>
    <w:rsid w:val="006609A2"/>
    <w:rsid w:val="00690A4A"/>
    <w:rsid w:val="00744572"/>
    <w:rsid w:val="0077304B"/>
    <w:rsid w:val="007A1746"/>
    <w:rsid w:val="00802537"/>
    <w:rsid w:val="0082647D"/>
    <w:rsid w:val="00836E01"/>
    <w:rsid w:val="0085383F"/>
    <w:rsid w:val="00887DD0"/>
    <w:rsid w:val="008A6736"/>
    <w:rsid w:val="008F01FF"/>
    <w:rsid w:val="00926D43"/>
    <w:rsid w:val="0098534F"/>
    <w:rsid w:val="009D4ACF"/>
    <w:rsid w:val="009E169F"/>
    <w:rsid w:val="009F67A7"/>
    <w:rsid w:val="00A14579"/>
    <w:rsid w:val="00A153EC"/>
    <w:rsid w:val="00A21AFB"/>
    <w:rsid w:val="00A60D72"/>
    <w:rsid w:val="00C27819"/>
    <w:rsid w:val="00CE593D"/>
    <w:rsid w:val="00CE5FBB"/>
    <w:rsid w:val="00CF41DF"/>
    <w:rsid w:val="00CF6499"/>
    <w:rsid w:val="00DC5367"/>
    <w:rsid w:val="00DE05FE"/>
    <w:rsid w:val="00DE4539"/>
    <w:rsid w:val="00E81919"/>
    <w:rsid w:val="00E87053"/>
    <w:rsid w:val="00EB7AC2"/>
    <w:rsid w:val="00ED1316"/>
    <w:rsid w:val="00ED3370"/>
    <w:rsid w:val="00F41941"/>
    <w:rsid w:val="00F4575E"/>
    <w:rsid w:val="00F73D16"/>
    <w:rsid w:val="00F968B7"/>
    <w:rsid w:val="00FB07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5AC6"/>
  <w15:chartTrackingRefBased/>
  <w15:docId w15:val="{EDE485BB-BE4C-4761-ADD7-885C1EB2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42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F41DF"/>
    <w:rPr>
      <w:rFonts w:ascii="Consolas" w:eastAsiaTheme="minorHAnsi" w:hAnsi="Consolas" w:cstheme="minorBidi"/>
      <w:sz w:val="21"/>
      <w:szCs w:val="21"/>
      <w:lang w:eastAsia="en-US"/>
    </w:rPr>
  </w:style>
  <w:style w:type="character" w:customStyle="1" w:styleId="TextebrutCar">
    <w:name w:val="Texte brut Car"/>
    <w:basedOn w:val="Policepardfaut"/>
    <w:link w:val="Textebrut"/>
    <w:uiPriority w:val="99"/>
    <w:rsid w:val="00CF41DF"/>
    <w:rPr>
      <w:rFonts w:ascii="Consolas" w:hAnsi="Consolas"/>
      <w:sz w:val="21"/>
      <w:szCs w:val="21"/>
    </w:rPr>
  </w:style>
  <w:style w:type="paragraph" w:styleId="Notedebasdepage">
    <w:name w:val="footnote text"/>
    <w:basedOn w:val="Normal"/>
    <w:link w:val="NotedebasdepageCar"/>
    <w:uiPriority w:val="99"/>
    <w:semiHidden/>
    <w:unhideWhenUsed/>
    <w:rsid w:val="003B0F7A"/>
    <w:rPr>
      <w:sz w:val="20"/>
      <w:szCs w:val="20"/>
    </w:rPr>
  </w:style>
  <w:style w:type="character" w:customStyle="1" w:styleId="NotedebasdepageCar">
    <w:name w:val="Note de bas de page Car"/>
    <w:basedOn w:val="Policepardfaut"/>
    <w:link w:val="Notedebasdepage"/>
    <w:uiPriority w:val="99"/>
    <w:semiHidden/>
    <w:rsid w:val="003B0F7A"/>
    <w:rPr>
      <w:rFonts w:ascii="Times New Roman" w:eastAsia="Times New Roman" w:hAnsi="Times New Roman" w:cs="Times New Roman"/>
      <w:sz w:val="20"/>
      <w:szCs w:val="20"/>
      <w:lang w:eastAsia="fr-FR"/>
    </w:rPr>
  </w:style>
  <w:style w:type="character" w:customStyle="1" w:styleId="Lienhypertexte1">
    <w:name w:val="Lien hypertexte1"/>
    <w:basedOn w:val="Policepardfaut"/>
    <w:uiPriority w:val="99"/>
    <w:unhideWhenUsed/>
    <w:rsid w:val="003B0F7A"/>
    <w:rPr>
      <w:color w:val="0563C1"/>
      <w:u w:val="single"/>
    </w:rPr>
  </w:style>
  <w:style w:type="character" w:styleId="Appelnotedebasdep">
    <w:name w:val="footnote reference"/>
    <w:aliases w:val="ftref,note bp, Car Car Char Car Char Car Car Char Car Char Char, Car Car Car Car Car Car Car Car Char Car Car Char Car Car Car Char Car Char Char Char,Car Car Char Car Char Car Car Char Car Char Char,16 Point,Superscript 6 Point"/>
    <w:unhideWhenUsed/>
    <w:rsid w:val="003B0F7A"/>
    <w:rPr>
      <w:vertAlign w:val="superscript"/>
    </w:rPr>
  </w:style>
  <w:style w:type="character" w:styleId="Lienhypertexte">
    <w:name w:val="Hyperlink"/>
    <w:basedOn w:val="Policepardfaut"/>
    <w:uiPriority w:val="99"/>
    <w:semiHidden/>
    <w:unhideWhenUsed/>
    <w:rsid w:val="003B0F7A"/>
    <w:rPr>
      <w:color w:val="0563C1" w:themeColor="hyperlink"/>
      <w:u w:val="single"/>
    </w:rPr>
  </w:style>
  <w:style w:type="paragraph" w:styleId="Paragraphedeliste">
    <w:name w:val="List Paragraph"/>
    <w:basedOn w:val="Normal"/>
    <w:uiPriority w:val="34"/>
    <w:qFormat/>
    <w:rsid w:val="003B3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275786">
      <w:bodyDiv w:val="1"/>
      <w:marLeft w:val="0"/>
      <w:marRight w:val="0"/>
      <w:marTop w:val="0"/>
      <w:marBottom w:val="0"/>
      <w:divBdr>
        <w:top w:val="none" w:sz="0" w:space="0" w:color="auto"/>
        <w:left w:val="none" w:sz="0" w:space="0" w:color="auto"/>
        <w:bottom w:val="none" w:sz="0" w:space="0" w:color="auto"/>
        <w:right w:val="none" w:sz="0" w:space="0" w:color="auto"/>
      </w:divBdr>
      <w:divsChild>
        <w:div w:id="380254493">
          <w:marLeft w:val="0"/>
          <w:marRight w:val="0"/>
          <w:marTop w:val="0"/>
          <w:marBottom w:val="48"/>
          <w:divBdr>
            <w:top w:val="none" w:sz="0" w:space="0" w:color="auto"/>
            <w:left w:val="none" w:sz="0" w:space="0" w:color="auto"/>
            <w:bottom w:val="none" w:sz="0" w:space="0" w:color="auto"/>
            <w:right w:val="none" w:sz="0" w:space="0" w:color="auto"/>
          </w:divBdr>
        </w:div>
        <w:div w:id="738670013">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444</Words>
  <Characters>2446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Macaire</dc:creator>
  <cp:keywords/>
  <dc:description/>
  <cp:lastModifiedBy>bakeu Gonhoko Macaire</cp:lastModifiedBy>
  <cp:revision>17</cp:revision>
  <dcterms:created xsi:type="dcterms:W3CDTF">2018-10-31T18:05:00Z</dcterms:created>
  <dcterms:modified xsi:type="dcterms:W3CDTF">2018-10-31T19:40:00Z</dcterms:modified>
</cp:coreProperties>
</file>