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30" w:rsidRPr="001E0C30" w:rsidRDefault="001E0C30" w:rsidP="001E0C30">
      <w:pPr>
        <w:spacing w:before="100" w:beforeAutospacing="1" w:after="100" w:afterAutospacing="1"/>
        <w:rPr>
          <w:rFonts w:ascii="-webkit-standard" w:hAnsi="-webkit-standard" w:cs="Times New Roman"/>
          <w:color w:val="000000"/>
          <w:sz w:val="20"/>
          <w:szCs w:val="20"/>
          <w:lang w:val="fr-BE"/>
        </w:rPr>
      </w:pPr>
      <w:r w:rsidRPr="001E0C30">
        <w:rPr>
          <w:rFonts w:ascii="-webkit-standard" w:hAnsi="-webkit-standard" w:cs="Times New Roman"/>
          <w:b/>
          <w:bCs/>
          <w:color w:val="FF6600"/>
          <w:sz w:val="20"/>
          <w:szCs w:val="20"/>
          <w:lang w:val="fr-BE"/>
        </w:rPr>
        <w:t>Financer la Couverture Maladie Universelle (CMU) : une agence unique financée par une taxe affectée sur les produits</w:t>
      </w:r>
    </w:p>
    <w:p w:rsidR="001E0C30" w:rsidRDefault="001E0C30" w:rsidP="001E0C30">
      <w:pPr>
        <w:spacing w:before="100" w:beforeAutospacing="1" w:after="100" w:afterAutospacing="1"/>
        <w:rPr>
          <w:rFonts w:ascii="-webkit-standard" w:hAnsi="-webkit-standard" w:cs="Times New Roman"/>
          <w:color w:val="000000"/>
          <w:sz w:val="20"/>
          <w:szCs w:val="20"/>
          <w:lang w:val="fr-BE"/>
        </w:rPr>
      </w:pPr>
      <w:r w:rsidRPr="001E0C30">
        <w:rPr>
          <w:rFonts w:ascii="-webkit-standard" w:hAnsi="-webkit-standard" w:cs="Times New Roman"/>
          <w:color w:val="000000"/>
          <w:sz w:val="20"/>
          <w:szCs w:val="20"/>
          <w:lang w:val="fr-BE"/>
        </w:rPr>
        <w:t>Mansoum</w:t>
      </w:r>
      <w:r>
        <w:rPr>
          <w:rFonts w:ascii="-webkit-standard" w:hAnsi="-webkit-standard" w:cs="Times New Roman"/>
          <w:color w:val="000000"/>
          <w:sz w:val="20"/>
          <w:szCs w:val="20"/>
          <w:lang w:val="fr-BE"/>
        </w:rPr>
        <w:t xml:space="preserve"> </w:t>
      </w:r>
      <w:r w:rsidRPr="001E0C30">
        <w:rPr>
          <w:rFonts w:ascii="-webkit-standard" w:hAnsi="-webkit-standard" w:cs="Times New Roman"/>
          <w:color w:val="000000"/>
          <w:sz w:val="20"/>
          <w:szCs w:val="20"/>
          <w:lang w:val="fr-BE"/>
        </w:rPr>
        <w:t>NDIAYE</w:t>
      </w:r>
      <w:r>
        <w:rPr>
          <w:rFonts w:ascii="-webkit-standard" w:hAnsi="-webkit-standard" w:cs="Times New Roman"/>
          <w:color w:val="000000"/>
          <w:sz w:val="20"/>
          <w:szCs w:val="20"/>
          <w:lang w:val="fr-BE"/>
        </w:rPr>
        <w:t xml:space="preserve">, </w:t>
      </w:r>
      <w:r w:rsidRPr="001E0C30">
        <w:rPr>
          <w:rFonts w:ascii="-webkit-standard" w:hAnsi="-webkit-standard" w:cs="Times New Roman"/>
          <w:color w:val="000000"/>
          <w:sz w:val="20"/>
          <w:szCs w:val="20"/>
          <w:lang w:val="fr-BE"/>
        </w:rPr>
        <w:t>Hervé LAFARGE</w:t>
      </w:r>
    </w:p>
    <w:p w:rsidR="001E0C30" w:rsidRPr="001E0C30" w:rsidRDefault="001E0C30" w:rsidP="001E0C30">
      <w:pPr>
        <w:spacing w:before="100" w:beforeAutospacing="1" w:after="100" w:afterAutospacing="1"/>
        <w:rPr>
          <w:rFonts w:ascii="-webkit-standard" w:hAnsi="-webkit-standard" w:cs="Times New Roman"/>
          <w:color w:val="000000"/>
          <w:sz w:val="20"/>
          <w:szCs w:val="20"/>
          <w:lang w:val="fr-BE"/>
        </w:rPr>
      </w:pPr>
      <w:r>
        <w:rPr>
          <w:rFonts w:ascii="-webkit-standard" w:hAnsi="-webkit-standard" w:cs="Times New Roman"/>
          <w:color w:val="000000"/>
          <w:sz w:val="20"/>
          <w:szCs w:val="20"/>
          <w:lang w:val="fr-BE"/>
        </w:rPr>
        <w:t>*</w:t>
      </w:r>
      <w:r w:rsidRPr="001E0C30">
        <w:rPr>
          <w:rFonts w:ascii="-webkit-standard" w:hAnsi="-webkit-standard" w:cs="Times New Roman"/>
          <w:color w:val="000000"/>
          <w:sz w:val="20"/>
          <w:szCs w:val="20"/>
          <w:lang w:val="fr-BE"/>
        </w:rPr>
        <w:t>CESAG</w:t>
      </w:r>
      <w:r>
        <w:rPr>
          <w:rFonts w:ascii="-webkit-standard" w:hAnsi="-webkit-standard" w:cs="Times New Roman"/>
          <w:color w:val="000000"/>
          <w:sz w:val="20"/>
          <w:szCs w:val="20"/>
          <w:lang w:val="fr-BE"/>
        </w:rPr>
        <w:t>, **</w:t>
      </w:r>
      <w:r w:rsidRPr="001E0C30">
        <w:rPr>
          <w:rFonts w:ascii="-webkit-standard" w:hAnsi="-webkit-standard" w:cs="Times New Roman"/>
          <w:color w:val="000000"/>
          <w:sz w:val="20"/>
          <w:szCs w:val="20"/>
          <w:lang w:val="fr-BE"/>
        </w:rPr>
        <w:t>Université Paris Dauphine</w:t>
      </w:r>
    </w:p>
    <w:p w:rsidR="001E0C30" w:rsidRPr="001E0C30" w:rsidRDefault="001E0C30" w:rsidP="001E0C30">
      <w:pPr>
        <w:spacing w:before="100" w:beforeAutospacing="1" w:after="100" w:afterAutospacing="1"/>
        <w:rPr>
          <w:rFonts w:ascii="-webkit-standard" w:hAnsi="-webkit-standard" w:cs="Times New Roman"/>
          <w:color w:val="000000"/>
          <w:sz w:val="20"/>
          <w:szCs w:val="20"/>
          <w:lang w:val="fr-BE"/>
        </w:rPr>
      </w:pPr>
      <w:bookmarkStart w:id="0" w:name="_GoBack"/>
      <w:bookmarkEnd w:id="0"/>
      <w:r w:rsidRPr="001E0C30">
        <w:rPr>
          <w:rFonts w:ascii="-webkit-standard" w:hAnsi="-webkit-standard" w:cs="Times New Roman"/>
          <w:color w:val="000000"/>
          <w:sz w:val="20"/>
          <w:szCs w:val="20"/>
          <w:lang w:val="fr-BE"/>
        </w:rPr>
        <w:t>Contexte. La protection contre le risque financier est une composante de la Couverture Sanitaire Universelle (CSU) qui se développe difficilement dans les pays d’Afrique de l’Ouest. Elle se heurte aux caractéristiques du contexte de pauvreté : une activité économique majoritairement informelle, l’omniprésence des comportements de captation de ressources financières et la faible légitimité des Etats post-coloniaux. La pauvreté a partout imposé une protection sociale obligatoire, l’informel impose le volontariat des contributions, la captation de l’argent fragilise la micro-assurance, la faible légitimité de l’Etat instaure la méfiance.</w:t>
      </w:r>
      <w:r w:rsidRPr="001E0C30">
        <w:rPr>
          <w:rFonts w:ascii="-webkit-standard" w:hAnsi="-webkit-standard" w:cs="Times New Roman"/>
          <w:color w:val="000000"/>
          <w:sz w:val="20"/>
          <w:szCs w:val="20"/>
          <w:lang w:val="fr-BE"/>
        </w:rPr>
        <w:br/>
        <w:t>But. Montrer la faisabilité et le potentiel d’un dispositif de CMU constitué d’une agence unique, financée principalement par une taxe affectée sur les produits.</w:t>
      </w:r>
      <w:r w:rsidRPr="001E0C30">
        <w:rPr>
          <w:rFonts w:ascii="-webkit-standard" w:hAnsi="-webkit-standard" w:cs="Times New Roman"/>
          <w:color w:val="000000"/>
          <w:sz w:val="20"/>
          <w:szCs w:val="20"/>
          <w:lang w:val="fr-BE"/>
        </w:rPr>
        <w:br/>
        <w:t>Objectifs : </w:t>
      </w:r>
      <w:r w:rsidRPr="001E0C30">
        <w:rPr>
          <w:rFonts w:ascii="-webkit-standard" w:hAnsi="-webkit-standard" w:cs="Times New Roman"/>
          <w:color w:val="000000"/>
          <w:sz w:val="20"/>
          <w:szCs w:val="20"/>
          <w:lang w:val="fr-BE"/>
        </w:rPr>
        <w:br/>
        <w:t>1) Analyser les forces et les faiblesses des dispositifs de CMU développés en Afrique de l’ouest francophone.</w:t>
      </w:r>
      <w:r w:rsidRPr="001E0C30">
        <w:rPr>
          <w:rFonts w:ascii="-webkit-standard" w:hAnsi="-webkit-standard" w:cs="Times New Roman"/>
          <w:color w:val="000000"/>
          <w:sz w:val="20"/>
          <w:szCs w:val="20"/>
          <w:lang w:val="fr-BE"/>
        </w:rPr>
        <w:br/>
        <w:t>2) Evaluer le besoin de financement d’une agence unique jouant le rôle de tiers payant</w:t>
      </w:r>
      <w:r w:rsidRPr="001E0C30">
        <w:rPr>
          <w:rFonts w:ascii="-webkit-standard" w:hAnsi="-webkit-standard" w:cs="Times New Roman"/>
          <w:color w:val="000000"/>
          <w:sz w:val="20"/>
          <w:szCs w:val="20"/>
          <w:lang w:val="fr-BE"/>
        </w:rPr>
        <w:br/>
        <w:t>3) Evaluer le potentiel de financement d’une taxe sur les produits</w:t>
      </w:r>
      <w:r w:rsidRPr="001E0C30">
        <w:rPr>
          <w:rFonts w:ascii="-webkit-standard" w:hAnsi="-webkit-standard" w:cs="Times New Roman"/>
          <w:color w:val="000000"/>
          <w:sz w:val="20"/>
          <w:szCs w:val="20"/>
          <w:lang w:val="fr-BE"/>
        </w:rPr>
        <w:br/>
        <w:t>4) Montrer le potentiel de régulation dont dispose ce dispositif.</w:t>
      </w:r>
      <w:r w:rsidRPr="001E0C30">
        <w:rPr>
          <w:rFonts w:ascii="-webkit-standard" w:hAnsi="-webkit-standard" w:cs="Times New Roman"/>
          <w:color w:val="000000"/>
          <w:sz w:val="20"/>
          <w:szCs w:val="20"/>
          <w:lang w:val="fr-BE"/>
        </w:rPr>
        <w:br/>
      </w:r>
      <w:r w:rsidRPr="001E0C30">
        <w:rPr>
          <w:rFonts w:ascii="-webkit-standard" w:hAnsi="-webkit-standard" w:cs="Times New Roman"/>
          <w:color w:val="000000"/>
          <w:sz w:val="20"/>
          <w:szCs w:val="20"/>
          <w:lang w:val="fr-BE"/>
        </w:rPr>
        <w:br/>
        <w:t>Méthodes : Faire une analyse documentaire des lois, décrets, projets de lois et de décrets, comptes nationaux de la santé, budgets de l’Etat.</w:t>
      </w:r>
      <w:r w:rsidRPr="001E0C30">
        <w:rPr>
          <w:rFonts w:ascii="-webkit-standard" w:hAnsi="-webkit-standard" w:cs="Times New Roman"/>
          <w:color w:val="000000"/>
          <w:sz w:val="20"/>
          <w:szCs w:val="20"/>
          <w:lang w:val="fr-BE"/>
        </w:rPr>
        <w:br/>
        <w:t>Résultats</w:t>
      </w:r>
      <w:r w:rsidRPr="001E0C30">
        <w:rPr>
          <w:rFonts w:ascii="-webkit-standard" w:hAnsi="-webkit-standard" w:cs="Times New Roman"/>
          <w:color w:val="000000"/>
          <w:sz w:val="20"/>
          <w:szCs w:val="20"/>
          <w:lang w:val="fr-BE"/>
        </w:rPr>
        <w:br/>
        <w:t>Tous les Etats élaborent et développent des dispositifs de CMU basés sur le renforcement des dispositifs existants (AMO, gratuités) et le développement des mutuelles d’adhésion volontaire et subventionnée. Ce dernier volet est aussi le plus problématique.</w:t>
      </w:r>
      <w:r w:rsidRPr="001E0C30">
        <w:rPr>
          <w:rFonts w:ascii="-webkit-standard" w:hAnsi="-webkit-standard" w:cs="Times New Roman"/>
          <w:color w:val="000000"/>
          <w:sz w:val="20"/>
          <w:szCs w:val="20"/>
          <w:lang w:val="fr-BE"/>
        </w:rPr>
        <w:br/>
        <w:t>Une couverture universelle et pérenne nécessite la mise en place d’un dispositif non contributif unifié financé sur ressources intérieures. </w:t>
      </w:r>
      <w:r w:rsidRPr="001E0C30">
        <w:rPr>
          <w:rFonts w:ascii="-webkit-standard" w:hAnsi="-webkit-standard" w:cs="Times New Roman"/>
          <w:color w:val="000000"/>
          <w:sz w:val="20"/>
          <w:szCs w:val="20"/>
          <w:lang w:val="fr-BE"/>
        </w:rPr>
        <w:br/>
        <w:t>Un dispositif constitué d’une agence unique qui prend en charge les factures de tous les citoyens, financée par une taxe affectée sur les produits (type TVA et droits de douane), parait économiquement soutenable. </w:t>
      </w:r>
      <w:r w:rsidRPr="001E0C30">
        <w:rPr>
          <w:rFonts w:ascii="-webkit-standard" w:hAnsi="-webkit-standard" w:cs="Times New Roman"/>
          <w:color w:val="000000"/>
          <w:sz w:val="20"/>
          <w:szCs w:val="20"/>
          <w:lang w:val="fr-BE"/>
        </w:rPr>
        <w:br/>
        <w:t>Ce dispositif présente un fort potentiel de renforcement du système d’information et de régulation de l’offre de soins.</w:t>
      </w:r>
      <w:r w:rsidRPr="001E0C30">
        <w:rPr>
          <w:rFonts w:ascii="-webkit-standard" w:hAnsi="-webkit-standard" w:cs="Times New Roman"/>
          <w:color w:val="000000"/>
          <w:sz w:val="20"/>
          <w:szCs w:val="20"/>
          <w:lang w:val="fr-BE"/>
        </w:rPr>
        <w:br/>
      </w:r>
      <w:r w:rsidRPr="001E0C30">
        <w:rPr>
          <w:rFonts w:ascii="-webkit-standard" w:hAnsi="-webkit-standard" w:cs="Times New Roman"/>
          <w:color w:val="000000"/>
          <w:sz w:val="20"/>
          <w:szCs w:val="20"/>
          <w:lang w:val="fr-BE"/>
        </w:rPr>
        <w:br/>
        <w:t>Conclusion : un tel dispositif devrait-être expérimenté.</w:t>
      </w:r>
    </w:p>
    <w:p w:rsidR="001E0C30" w:rsidRPr="001E0C30" w:rsidRDefault="001E0C30" w:rsidP="001E0C30">
      <w:pPr>
        <w:rPr>
          <w:rFonts w:ascii="Times New Roman" w:eastAsia="Times New Roman" w:hAnsi="Times New Roman" w:cs="Times New Roman"/>
          <w:sz w:val="20"/>
          <w:szCs w:val="20"/>
          <w:lang w:val="fr-BE"/>
        </w:rPr>
      </w:pPr>
    </w:p>
    <w:p w:rsidR="00015C6E" w:rsidRDefault="00015C6E"/>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30"/>
    <w:rsid w:val="00015C6E"/>
    <w:rsid w:val="001E0C30"/>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 w:type="paragraph" w:styleId="NormalWeb">
    <w:name w:val="Normal (Web)"/>
    <w:basedOn w:val="Normal"/>
    <w:uiPriority w:val="99"/>
    <w:semiHidden/>
    <w:unhideWhenUsed/>
    <w:rsid w:val="001E0C30"/>
    <w:pPr>
      <w:spacing w:before="100" w:beforeAutospacing="1" w:after="100" w:afterAutospacing="1"/>
    </w:pPr>
    <w:rPr>
      <w:rFonts w:ascii="Times New Roman" w:hAnsi="Times New Roman" w:cs="Times New Roman"/>
      <w:sz w:val="20"/>
      <w:szCs w:val="20"/>
      <w:lang w:val="fr-BE"/>
    </w:rPr>
  </w:style>
  <w:style w:type="character" w:styleId="lev">
    <w:name w:val="Strong"/>
    <w:basedOn w:val="Policepardfaut"/>
    <w:uiPriority w:val="22"/>
    <w:qFormat/>
    <w:rsid w:val="001E0C30"/>
    <w:rPr>
      <w:b/>
      <w:bCs/>
    </w:rPr>
  </w:style>
  <w:style w:type="character" w:customStyle="1" w:styleId="apple-converted-space">
    <w:name w:val="apple-converted-space"/>
    <w:basedOn w:val="Policepardfaut"/>
    <w:rsid w:val="001E0C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 w:type="paragraph" w:styleId="NormalWeb">
    <w:name w:val="Normal (Web)"/>
    <w:basedOn w:val="Normal"/>
    <w:uiPriority w:val="99"/>
    <w:semiHidden/>
    <w:unhideWhenUsed/>
    <w:rsid w:val="001E0C30"/>
    <w:pPr>
      <w:spacing w:before="100" w:beforeAutospacing="1" w:after="100" w:afterAutospacing="1"/>
    </w:pPr>
    <w:rPr>
      <w:rFonts w:ascii="Times New Roman" w:hAnsi="Times New Roman" w:cs="Times New Roman"/>
      <w:sz w:val="20"/>
      <w:szCs w:val="20"/>
      <w:lang w:val="fr-BE"/>
    </w:rPr>
  </w:style>
  <w:style w:type="character" w:styleId="lev">
    <w:name w:val="Strong"/>
    <w:basedOn w:val="Policepardfaut"/>
    <w:uiPriority w:val="22"/>
    <w:qFormat/>
    <w:rsid w:val="001E0C30"/>
    <w:rPr>
      <w:b/>
      <w:bCs/>
    </w:rPr>
  </w:style>
  <w:style w:type="character" w:customStyle="1" w:styleId="apple-converted-space">
    <w:name w:val="apple-converted-space"/>
    <w:basedOn w:val="Policepardfaut"/>
    <w:rsid w:val="001E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564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1925</Characters>
  <Application>Microsoft Macintosh Word</Application>
  <DocSecurity>0</DocSecurity>
  <Lines>16</Lines>
  <Paragraphs>4</Paragraphs>
  <ScaleCrop>false</ScaleCrop>
  <Company>AfHEA</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2019-02-03T19:10:00Z</dcterms:created>
  <dcterms:modified xsi:type="dcterms:W3CDTF">2019-02-03T19:13:00Z</dcterms:modified>
</cp:coreProperties>
</file>