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6A" w:rsidRPr="00A00F6A" w:rsidRDefault="00A00F6A">
      <w:pPr>
        <w:rPr>
          <w:lang w:val="en-GB"/>
        </w:rPr>
      </w:pPr>
      <w:r w:rsidRPr="00A00F6A">
        <w:rPr>
          <w:lang w:val="en-GB"/>
        </w:rPr>
        <w:t xml:space="preserve">Cost Effectiveness and Budget Impact of </w:t>
      </w:r>
      <w:proofErr w:type="spellStart"/>
      <w:r w:rsidRPr="00A00F6A">
        <w:rPr>
          <w:lang w:val="en-GB"/>
        </w:rPr>
        <w:t>Fondaparinux</w:t>
      </w:r>
      <w:proofErr w:type="spellEnd"/>
      <w:r w:rsidRPr="00A00F6A">
        <w:rPr>
          <w:lang w:val="en-GB"/>
        </w:rPr>
        <w:t xml:space="preserve"> for the treatment of Acute Coronary Syndrome (ACS) in Non-ST and ST Elevation Myocardial Infarction patients in the South African public health system</w:t>
      </w:r>
    </w:p>
    <w:p w:rsidR="00A00F6A" w:rsidRPr="00A00F6A" w:rsidRDefault="00A00F6A">
      <w:pPr>
        <w:rPr>
          <w:lang w:val="en-GB"/>
        </w:rPr>
      </w:pPr>
      <w:r w:rsidRPr="00A00F6A">
        <w:rPr>
          <w:lang w:val="en-GB"/>
        </w:rPr>
        <w:t xml:space="preserve">*Tommy Wilkinson, **Alex Winch, ***Kim </w:t>
      </w:r>
      <w:proofErr w:type="spellStart"/>
      <w:r w:rsidRPr="00A00F6A">
        <w:rPr>
          <w:lang w:val="en-GB"/>
        </w:rPr>
        <w:t>MacQuilkan</w:t>
      </w:r>
      <w:proofErr w:type="spellEnd"/>
    </w:p>
    <w:p w:rsidR="00015C6E" w:rsidRPr="00A00F6A" w:rsidRDefault="00A00F6A">
      <w:pPr>
        <w:rPr>
          <w:lang w:val="en-GB"/>
        </w:rPr>
      </w:pPr>
      <w:r w:rsidRPr="00A00F6A">
        <w:rPr>
          <w:lang w:val="en-GB"/>
        </w:rPr>
        <w:t>*University of Cape Town, **Imperial College London, ***Independent Public Health Consultant</w:t>
      </w:r>
    </w:p>
    <w:p w:rsidR="00A00F6A" w:rsidRPr="00A00F6A" w:rsidRDefault="00A00F6A">
      <w:pPr>
        <w:rPr>
          <w:lang w:val="en-GB"/>
        </w:rPr>
      </w:pP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Introduction </w:t>
      </w: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The burden of Acute Coronary Syndromes (ACS) in developing countries is </w:t>
      </w:r>
      <w:proofErr w:type="gramStart"/>
      <w:r w:rsidRPr="00A00F6A">
        <w:rPr>
          <w:lang w:val="en-GB"/>
        </w:rPr>
        <w:t>growing .</w:t>
      </w:r>
      <w:proofErr w:type="gramEnd"/>
      <w:r w:rsidRPr="00A00F6A">
        <w:rPr>
          <w:lang w:val="en-GB"/>
        </w:rPr>
        <w:t xml:space="preserve"> ACS causes nearly half of all deaths due to cardiovascular disease and significantly contributes to the economic burden on healthcare </w:t>
      </w:r>
      <w:proofErr w:type="gramStart"/>
      <w:r w:rsidRPr="00A00F6A">
        <w:rPr>
          <w:lang w:val="en-GB"/>
        </w:rPr>
        <w:t>systems .</w:t>
      </w:r>
      <w:proofErr w:type="gramEnd"/>
      <w:r w:rsidRPr="00A00F6A">
        <w:rPr>
          <w:lang w:val="en-GB"/>
        </w:rPr>
        <w:t xml:space="preserve"> ACS comprises of Unstable Angina (UA), non ST-segment elevation myocardial infarction (NSTEMI), and ST-segment elevation myocardial infarction (STEMI).  </w:t>
      </w:r>
    </w:p>
    <w:p w:rsidR="00A00F6A" w:rsidRPr="00A00F6A" w:rsidRDefault="00A00F6A" w:rsidP="00A00F6A">
      <w:pPr>
        <w:rPr>
          <w:lang w:val="en-GB"/>
        </w:rPr>
      </w:pP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Aim </w:t>
      </w: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To assess the cost-effectiveness and budget impact of </w:t>
      </w:r>
      <w:proofErr w:type="spellStart"/>
      <w:r w:rsidRPr="00A00F6A">
        <w:rPr>
          <w:lang w:val="en-GB"/>
        </w:rPr>
        <w:t>fondaparinux</w:t>
      </w:r>
      <w:proofErr w:type="spellEnd"/>
      <w:r w:rsidRPr="00A00F6A">
        <w:rPr>
          <w:lang w:val="en-GB"/>
        </w:rPr>
        <w:t xml:space="preserve"> compared to enoxaparin and UFH in the treatment of NSTEMI and STEMI patients, and in addition to streptokinase for STEMI patients treated within 6 hours of admission to inform inclusion in the South African Standard Treatment Guidelines and Essential Medicine </w:t>
      </w:r>
      <w:proofErr w:type="gramStart"/>
      <w:r w:rsidRPr="00A00F6A">
        <w:rPr>
          <w:lang w:val="en-GB"/>
        </w:rPr>
        <w:t>List .</w:t>
      </w:r>
      <w:proofErr w:type="gramEnd"/>
    </w:p>
    <w:p w:rsidR="00A00F6A" w:rsidRPr="00A00F6A" w:rsidRDefault="00A00F6A" w:rsidP="00A00F6A">
      <w:pPr>
        <w:rPr>
          <w:lang w:val="en-GB"/>
        </w:rPr>
      </w:pP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Methods  </w:t>
      </w: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The assessment involved a cost-effectiveness analysis (CEA) and a budget impact analysis (BIA). A Markov cohort model was developed that estimated the likely clinical outcomes and costs associated with using </w:t>
      </w:r>
      <w:proofErr w:type="spellStart"/>
      <w:r w:rsidRPr="00A00F6A">
        <w:rPr>
          <w:lang w:val="en-GB"/>
        </w:rPr>
        <w:t>fondaparinux</w:t>
      </w:r>
      <w:proofErr w:type="spellEnd"/>
      <w:r w:rsidRPr="00A00F6A">
        <w:rPr>
          <w:lang w:val="en-GB"/>
        </w:rPr>
        <w:t xml:space="preserve"> compared to either enoxaparin or UFH in the treatment of NSTEMI patients. In STEMI patients, </w:t>
      </w:r>
      <w:proofErr w:type="spellStart"/>
      <w:r w:rsidRPr="00A00F6A">
        <w:rPr>
          <w:lang w:val="en-GB"/>
        </w:rPr>
        <w:t>fondaparinux</w:t>
      </w:r>
      <w:proofErr w:type="spellEnd"/>
      <w:r w:rsidRPr="00A00F6A">
        <w:rPr>
          <w:lang w:val="en-GB"/>
        </w:rPr>
        <w:t xml:space="preserve"> with streptokinase compared to streptokinase </w:t>
      </w:r>
      <w:proofErr w:type="spellStart"/>
      <w:r w:rsidRPr="00A00F6A">
        <w:rPr>
          <w:lang w:val="en-GB"/>
        </w:rPr>
        <w:t>monotherapy</w:t>
      </w:r>
      <w:proofErr w:type="spellEnd"/>
      <w:r w:rsidRPr="00A00F6A">
        <w:rPr>
          <w:lang w:val="en-GB"/>
        </w:rPr>
        <w:t xml:space="preserve"> if admitted within 6 hours, and as an alternative to enoxaparin and UFH if admitted over 6 hours.</w:t>
      </w:r>
      <w:r w:rsidRPr="00A00F6A">
        <w:rPr>
          <w:lang w:val="en-GB"/>
        </w:rPr>
        <w:tab/>
      </w: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>Results</w:t>
      </w:r>
    </w:p>
    <w:p w:rsidR="00A00F6A" w:rsidRPr="00A00F6A" w:rsidRDefault="00A00F6A" w:rsidP="00A00F6A">
      <w:pPr>
        <w:rPr>
          <w:lang w:val="en-GB"/>
        </w:rPr>
      </w:pP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Cost/QALY and budget impact estimates were generated to provide an indication of the cost effectiveness and affordability of </w:t>
      </w:r>
      <w:proofErr w:type="spellStart"/>
      <w:r w:rsidRPr="00A00F6A">
        <w:rPr>
          <w:lang w:val="en-GB"/>
        </w:rPr>
        <w:t>fondaparinux</w:t>
      </w:r>
      <w:proofErr w:type="spellEnd"/>
      <w:r w:rsidRPr="00A00F6A">
        <w:rPr>
          <w:lang w:val="en-GB"/>
        </w:rPr>
        <w:t xml:space="preserve"> for the management of ACS patients.</w:t>
      </w: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The results are interpreted in the context key assumptions used in the analysis relating to the contract price that can be achieved for </w:t>
      </w:r>
      <w:proofErr w:type="spellStart"/>
      <w:r w:rsidRPr="00A00F6A">
        <w:rPr>
          <w:lang w:val="en-GB"/>
        </w:rPr>
        <w:t>fondaparinux</w:t>
      </w:r>
      <w:proofErr w:type="spellEnd"/>
      <w:r w:rsidRPr="00A00F6A">
        <w:rPr>
          <w:lang w:val="en-GB"/>
        </w:rPr>
        <w:t xml:space="preserve">, and extent to which clinical practice and outcomes for ACS reflect pivotal clinical trial outcomes. </w:t>
      </w: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 xml:space="preserve">Conclusion </w:t>
      </w:r>
    </w:p>
    <w:p w:rsidR="00A00F6A" w:rsidRPr="00A00F6A" w:rsidRDefault="00A00F6A" w:rsidP="00A00F6A">
      <w:pPr>
        <w:rPr>
          <w:lang w:val="en-GB"/>
        </w:rPr>
      </w:pPr>
    </w:p>
    <w:p w:rsidR="00A00F6A" w:rsidRPr="00A00F6A" w:rsidRDefault="00A00F6A" w:rsidP="00A00F6A">
      <w:pPr>
        <w:rPr>
          <w:lang w:val="en-GB"/>
        </w:rPr>
      </w:pPr>
      <w:r w:rsidRPr="00A00F6A">
        <w:rPr>
          <w:lang w:val="en-GB"/>
        </w:rPr>
        <w:t>The use of CEA and BIA allows critical medicine utilisation decisions to incorporate cost and affordability considerations in addition to burden of disease, clinical effectiveness and safety profile.</w:t>
      </w:r>
    </w:p>
    <w:p w:rsidR="00A00F6A" w:rsidRPr="00A00F6A" w:rsidRDefault="00A00F6A">
      <w:pPr>
        <w:rPr>
          <w:lang w:val="en-GB"/>
        </w:rPr>
      </w:pPr>
      <w:bookmarkStart w:id="0" w:name="_GoBack"/>
      <w:bookmarkEnd w:id="0"/>
    </w:p>
    <w:sectPr w:rsidR="00A00F6A" w:rsidRPr="00A00F6A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6A"/>
    <w:rsid w:val="00015C6E"/>
    <w:rsid w:val="005C35DD"/>
    <w:rsid w:val="00A00F6A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1882</Characters>
  <Application>Microsoft Macintosh Word</Application>
  <DocSecurity>0</DocSecurity>
  <Lines>15</Lines>
  <Paragraphs>4</Paragraphs>
  <ScaleCrop>false</ScaleCrop>
  <Company>AfHEA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2019-02-06T22:45:00Z</dcterms:created>
  <dcterms:modified xsi:type="dcterms:W3CDTF">2019-02-06T22:49:00Z</dcterms:modified>
</cp:coreProperties>
</file>