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4A9635" w14:textId="71601F9D" w:rsidR="005B3DA8" w:rsidRPr="005B3DA8" w:rsidRDefault="005B3DA8" w:rsidP="005B3DA8">
      <w:pPr>
        <w:pStyle w:val="Heading1"/>
        <w:jc w:val="center"/>
        <w:rPr>
          <w:b/>
          <w:sz w:val="28"/>
          <w:szCs w:val="28"/>
        </w:rPr>
      </w:pPr>
      <w:r w:rsidRPr="005B3DA8">
        <w:rPr>
          <w:b/>
          <w:sz w:val="28"/>
          <w:szCs w:val="28"/>
        </w:rPr>
        <w:t xml:space="preserve">An extended cost-effectiveness analysis of the AIDS Trust Fund in Uganda </w:t>
      </w:r>
    </w:p>
    <w:p w14:paraId="59714D70" w14:textId="77777777" w:rsidR="005B3DA8" w:rsidRPr="005B3DA8" w:rsidRDefault="005B3DA8" w:rsidP="005B3DA8">
      <w:pPr>
        <w:pStyle w:val="NoSpacing"/>
        <w:rPr>
          <w:rStyle w:val="Strong"/>
          <w:rFonts w:eastAsiaTheme="majorEastAsia"/>
          <w:sz w:val="28"/>
          <w:szCs w:val="28"/>
        </w:rPr>
      </w:pPr>
      <w:r w:rsidRPr="005B3DA8">
        <w:rPr>
          <w:b/>
          <w:bCs/>
          <w:noProof/>
          <w:sz w:val="28"/>
          <w:szCs w:val="28"/>
        </w:rPr>
        <mc:AlternateContent>
          <mc:Choice Requires="wps">
            <w:drawing>
              <wp:anchor distT="0" distB="0" distL="114300" distR="114300" simplePos="0" relativeHeight="251659264" behindDoc="0" locked="0" layoutInCell="1" allowOverlap="1" wp14:anchorId="1A5A0CF2" wp14:editId="0BAF58B7">
                <wp:simplePos x="0" y="0"/>
                <wp:positionH relativeFrom="column">
                  <wp:posOffset>18107</wp:posOffset>
                </wp:positionH>
                <wp:positionV relativeFrom="paragraph">
                  <wp:posOffset>14322</wp:posOffset>
                </wp:positionV>
                <wp:extent cx="5993394" cy="0"/>
                <wp:effectExtent l="0" t="0" r="13970" b="12700"/>
                <wp:wrapNone/>
                <wp:docPr id="1" name="Straight Connector 1"/>
                <wp:cNvGraphicFramePr/>
                <a:graphic xmlns:a="http://schemas.openxmlformats.org/drawingml/2006/main">
                  <a:graphicData uri="http://schemas.microsoft.com/office/word/2010/wordprocessingShape">
                    <wps:wsp>
                      <wps:cNvCnPr/>
                      <wps:spPr>
                        <a:xfrm>
                          <a:off x="0" y="0"/>
                          <a:ext cx="5993394"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77F1DDF"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45pt,1.15pt" to="473.35pt,1.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" strokecolor="#4472c4 [3204]" strokeweight=".5pt">
                <v:stroke joinstyle="miter"/>
              </v:line>
            </w:pict>
          </mc:Fallback>
        </mc:AlternateContent>
      </w:r>
    </w:p>
    <w:p w14:paraId="6AB4A7E3" w14:textId="77777777" w:rsidR="005B3DA8" w:rsidRPr="00E87FD4" w:rsidRDefault="005B3DA8" w:rsidP="005B3DA8">
      <w:pPr>
        <w:jc w:val="center"/>
        <w:rPr>
          <w:color w:val="000000" w:themeColor="text1"/>
          <w:sz w:val="20"/>
          <w:szCs w:val="20"/>
          <w:vertAlign w:val="superscript"/>
        </w:rPr>
      </w:pPr>
      <w:r w:rsidRPr="00E87FD4">
        <w:rPr>
          <w:color w:val="000000" w:themeColor="text1"/>
          <w:sz w:val="20"/>
          <w:szCs w:val="20"/>
        </w:rPr>
        <w:t>Charles Birungi, MSc</w:t>
      </w:r>
      <w:r w:rsidRPr="00E87FD4">
        <w:rPr>
          <w:color w:val="000000" w:themeColor="text1"/>
          <w:sz w:val="20"/>
          <w:szCs w:val="20"/>
          <w:vertAlign w:val="superscript"/>
        </w:rPr>
        <w:t>1</w:t>
      </w:r>
      <w:r>
        <w:rPr>
          <w:color w:val="000000" w:themeColor="text1"/>
          <w:sz w:val="20"/>
          <w:szCs w:val="20"/>
          <w:vertAlign w:val="superscript"/>
        </w:rPr>
        <w:t>,2</w:t>
      </w:r>
      <w:r w:rsidRPr="00E87FD4">
        <w:rPr>
          <w:color w:val="000000" w:themeColor="text1"/>
          <w:sz w:val="20"/>
          <w:szCs w:val="20"/>
          <w:vertAlign w:val="superscript"/>
        </w:rPr>
        <w:t>*</w:t>
      </w:r>
      <w:r w:rsidRPr="00E87FD4">
        <w:rPr>
          <w:color w:val="000000" w:themeColor="text1"/>
          <w:sz w:val="20"/>
          <w:szCs w:val="20"/>
        </w:rPr>
        <w:t xml:space="preserve">, Timothy </w:t>
      </w:r>
      <w:proofErr w:type="spellStart"/>
      <w:r w:rsidRPr="00E87FD4">
        <w:rPr>
          <w:color w:val="000000" w:themeColor="text1"/>
          <w:sz w:val="20"/>
          <w:szCs w:val="20"/>
        </w:rPr>
        <w:t>Colbourn</w:t>
      </w:r>
      <w:proofErr w:type="spellEnd"/>
      <w:r w:rsidRPr="00E87FD4">
        <w:rPr>
          <w:color w:val="000000" w:themeColor="text1"/>
          <w:sz w:val="20"/>
          <w:szCs w:val="20"/>
        </w:rPr>
        <w:t>, PhD</w:t>
      </w:r>
      <w:r w:rsidRPr="00E87FD4">
        <w:rPr>
          <w:color w:val="000000" w:themeColor="text1"/>
          <w:sz w:val="20"/>
          <w:szCs w:val="20"/>
          <w:vertAlign w:val="superscript"/>
        </w:rPr>
        <w:t>1</w:t>
      </w:r>
      <w:r w:rsidRPr="00E87FD4">
        <w:rPr>
          <w:color w:val="000000" w:themeColor="text1"/>
          <w:sz w:val="20"/>
          <w:szCs w:val="20"/>
        </w:rPr>
        <w:t xml:space="preserve">, </w:t>
      </w:r>
      <w:r w:rsidRPr="00E87FD4">
        <w:rPr>
          <w:rFonts w:cs="Arial"/>
          <w:bCs/>
          <w:color w:val="000000" w:themeColor="text1"/>
          <w:sz w:val="20"/>
          <w:szCs w:val="20"/>
          <w:shd w:val="clear" w:color="auto" w:fill="FFFFFF"/>
        </w:rPr>
        <w:t>Marcos Vera</w:t>
      </w:r>
      <w:r w:rsidRPr="00E87FD4">
        <w:rPr>
          <w:rFonts w:cs="Arial"/>
          <w:color w:val="000000" w:themeColor="text1"/>
          <w:sz w:val="20"/>
          <w:szCs w:val="20"/>
          <w:shd w:val="clear" w:color="auto" w:fill="FFFFFF"/>
        </w:rPr>
        <w:t>-</w:t>
      </w:r>
      <w:r w:rsidRPr="00E87FD4">
        <w:rPr>
          <w:rFonts w:cs="Arial"/>
          <w:bCs/>
          <w:color w:val="000000" w:themeColor="text1"/>
          <w:sz w:val="20"/>
          <w:szCs w:val="20"/>
          <w:shd w:val="clear" w:color="auto" w:fill="FFFFFF"/>
        </w:rPr>
        <w:t>Hernández, PhD</w:t>
      </w:r>
      <w:r w:rsidRPr="00E87FD4">
        <w:rPr>
          <w:rFonts w:cs="Arial"/>
          <w:bCs/>
          <w:color w:val="000000" w:themeColor="text1"/>
          <w:sz w:val="20"/>
          <w:szCs w:val="20"/>
          <w:shd w:val="clear" w:color="auto" w:fill="FFFFFF"/>
          <w:vertAlign w:val="superscript"/>
        </w:rPr>
        <w:t>1,</w:t>
      </w:r>
      <w:r>
        <w:rPr>
          <w:rFonts w:cs="Arial"/>
          <w:bCs/>
          <w:color w:val="000000" w:themeColor="text1"/>
          <w:sz w:val="20"/>
          <w:szCs w:val="20"/>
          <w:shd w:val="clear" w:color="auto" w:fill="FFFFFF"/>
          <w:vertAlign w:val="superscript"/>
        </w:rPr>
        <w:t>3</w:t>
      </w:r>
    </w:p>
    <w:p w14:paraId="2F99A661" w14:textId="77777777" w:rsidR="005B3DA8" w:rsidRPr="00E87FD4" w:rsidRDefault="005B3DA8" w:rsidP="005B3DA8">
      <w:pPr>
        <w:pStyle w:val="Heading3"/>
        <w:jc w:val="center"/>
        <w:rPr>
          <w:rFonts w:ascii="Calibri" w:hAnsi="Calibri"/>
          <w:color w:val="000000" w:themeColor="text1"/>
          <w:sz w:val="20"/>
          <w:szCs w:val="20"/>
        </w:rPr>
      </w:pPr>
      <w:r w:rsidRPr="00E87FD4">
        <w:rPr>
          <w:rFonts w:ascii="Calibri" w:hAnsi="Calibri"/>
          <w:color w:val="000000" w:themeColor="text1"/>
          <w:sz w:val="20"/>
          <w:szCs w:val="20"/>
          <w:vertAlign w:val="superscript"/>
        </w:rPr>
        <w:t>1</w:t>
      </w:r>
      <w:r w:rsidRPr="00E87FD4">
        <w:rPr>
          <w:rFonts w:ascii="Calibri" w:hAnsi="Calibri"/>
          <w:color w:val="000000" w:themeColor="text1"/>
          <w:sz w:val="20"/>
          <w:szCs w:val="20"/>
        </w:rPr>
        <w:t>The UCL Centre for Global Health Economics, University College London, UK;</w:t>
      </w:r>
      <w:r w:rsidRPr="00E87FD4">
        <w:rPr>
          <w:rFonts w:ascii="Calibri" w:hAnsi="Calibri"/>
          <w:color w:val="000000" w:themeColor="text1"/>
          <w:sz w:val="20"/>
          <w:szCs w:val="20"/>
          <w:vertAlign w:val="superscript"/>
        </w:rPr>
        <w:t>2</w:t>
      </w:r>
      <w:r>
        <w:rPr>
          <w:rFonts w:ascii="Calibri" w:hAnsi="Calibri"/>
          <w:color w:val="000000" w:themeColor="text1"/>
          <w:sz w:val="20"/>
          <w:szCs w:val="20"/>
        </w:rPr>
        <w:t xml:space="preserve">UNAIDS, Botswana, </w:t>
      </w:r>
      <w:r>
        <w:rPr>
          <w:rFonts w:ascii="Calibri" w:hAnsi="Calibri"/>
          <w:color w:val="000000" w:themeColor="text1"/>
          <w:sz w:val="20"/>
          <w:szCs w:val="20"/>
          <w:vertAlign w:val="superscript"/>
        </w:rPr>
        <w:t>3</w:t>
      </w:r>
      <w:r>
        <w:rPr>
          <w:rFonts w:ascii="Calibri" w:hAnsi="Calibri"/>
          <w:color w:val="000000" w:themeColor="text1"/>
          <w:sz w:val="20"/>
          <w:szCs w:val="20"/>
        </w:rPr>
        <w:t>In</w:t>
      </w:r>
      <w:r w:rsidRPr="00E87FD4">
        <w:rPr>
          <w:rFonts w:ascii="Calibri" w:hAnsi="Calibri"/>
          <w:color w:val="000000" w:themeColor="text1"/>
          <w:sz w:val="20"/>
          <w:szCs w:val="20"/>
        </w:rPr>
        <w:t>stitute for Fiscal Studies, UK</w:t>
      </w:r>
    </w:p>
    <w:p w14:paraId="7ED4A282" w14:textId="312B0E72" w:rsidR="005B3DA8" w:rsidRPr="00375665" w:rsidRDefault="005B3DA8" w:rsidP="00375665">
      <w:pPr>
        <w:jc w:val="center"/>
        <w:rPr>
          <w:sz w:val="20"/>
          <w:szCs w:val="20"/>
        </w:rPr>
      </w:pPr>
      <w:r w:rsidRPr="00E87FD4">
        <w:rPr>
          <w:sz w:val="20"/>
          <w:szCs w:val="20"/>
        </w:rPr>
        <w:t xml:space="preserve">*corresponding author: </w:t>
      </w:r>
      <w:hyperlink r:id="rId4" w:history="1">
        <w:r w:rsidRPr="00E87FD4">
          <w:rPr>
            <w:rStyle w:val="Hyperlink"/>
            <w:sz w:val="20"/>
            <w:szCs w:val="20"/>
          </w:rPr>
          <w:t>charles.birungi.14@ucl.ac.uk</w:t>
        </w:r>
      </w:hyperlink>
    </w:p>
    <w:p w14:paraId="23161163" w14:textId="0FA9C419" w:rsidR="005B3DA8" w:rsidRPr="005B3DA8" w:rsidRDefault="005B3DA8" w:rsidP="005B3DA8">
      <w:pPr>
        <w:spacing w:before="100" w:beforeAutospacing="1" w:after="100" w:afterAutospacing="1" w:line="240" w:lineRule="auto"/>
        <w:jc w:val="both"/>
        <w:rPr>
          <w:rFonts w:ascii="Times New Roman" w:eastAsia="Times New Roman" w:hAnsi="Times New Roman" w:cs="Times New Roman"/>
          <w:sz w:val="23"/>
          <w:szCs w:val="23"/>
          <w:lang w:val="en-US"/>
        </w:rPr>
      </w:pPr>
      <w:r w:rsidRPr="005B3DA8">
        <w:rPr>
          <w:rFonts w:ascii="Times New Roman" w:eastAsia="Times New Roman" w:hAnsi="Times New Roman" w:cs="Times New Roman"/>
          <w:b/>
          <w:bCs/>
          <w:sz w:val="23"/>
          <w:szCs w:val="23"/>
          <w:lang w:val="en-US"/>
        </w:rPr>
        <w:t>Background</w:t>
      </w:r>
      <w:r w:rsidRPr="005B3DA8">
        <w:rPr>
          <w:rFonts w:ascii="Times New Roman" w:eastAsia="Times New Roman" w:hAnsi="Times New Roman" w:cs="Times New Roman"/>
          <w:sz w:val="23"/>
          <w:szCs w:val="23"/>
          <w:lang w:val="en-US"/>
        </w:rPr>
        <w:t xml:space="preserve">: HIV is a disease of inequality. This necessitates “leaving no one behind” if the 2030 </w:t>
      </w:r>
      <w:r w:rsidRPr="005B3DA8">
        <w:rPr>
          <w:rFonts w:ascii="Times New Roman" w:eastAsia="Times New Roman" w:hAnsi="Times New Roman" w:cs="Times New Roman"/>
          <w:i/>
          <w:iCs/>
          <w:sz w:val="23"/>
          <w:szCs w:val="23"/>
          <w:lang w:val="en-US"/>
        </w:rPr>
        <w:t>A</w:t>
      </w:r>
      <w:r w:rsidRPr="005B3DA8">
        <w:rPr>
          <w:rFonts w:ascii="Times New Roman" w:eastAsia="Times New Roman" w:hAnsi="Times New Roman" w:cs="Times New Roman"/>
          <w:i/>
          <w:sz w:val="23"/>
          <w:szCs w:val="23"/>
          <w:shd w:val="clear" w:color="auto" w:fill="FFFFFF"/>
          <w:lang w:val="en-US"/>
        </w:rPr>
        <w:t xml:space="preserve">genda for </w:t>
      </w:r>
      <w:r w:rsidRPr="00375665">
        <w:rPr>
          <w:rFonts w:ascii="Times New Roman" w:eastAsia="Times New Roman" w:hAnsi="Times New Roman" w:cs="Times New Roman"/>
          <w:i/>
          <w:sz w:val="23"/>
          <w:szCs w:val="23"/>
          <w:shd w:val="clear" w:color="auto" w:fill="FFFFFF"/>
          <w:lang w:val="en-US"/>
        </w:rPr>
        <w:t>Sustainable Development</w:t>
      </w:r>
      <w:r w:rsidRPr="00375665">
        <w:rPr>
          <w:rFonts w:ascii="Times New Roman" w:eastAsia="Times New Roman" w:hAnsi="Times New Roman" w:cs="Times New Roman"/>
          <w:sz w:val="23"/>
          <w:szCs w:val="23"/>
          <w:shd w:val="clear" w:color="auto" w:fill="FFFFFF"/>
          <w:lang w:val="en-US"/>
        </w:rPr>
        <w:t xml:space="preserve">’s goal to end the AIDS epidemic as a global health threat is to be </w:t>
      </w:r>
      <w:proofErr w:type="spellStart"/>
      <w:r w:rsidRPr="00375665">
        <w:rPr>
          <w:rFonts w:ascii="Times New Roman" w:eastAsia="Times New Roman" w:hAnsi="Times New Roman" w:cs="Times New Roman"/>
          <w:sz w:val="23"/>
          <w:szCs w:val="23"/>
          <w:shd w:val="clear" w:color="auto" w:fill="FFFFFF"/>
          <w:lang w:val="en-US"/>
        </w:rPr>
        <w:t>realised</w:t>
      </w:r>
      <w:proofErr w:type="spellEnd"/>
      <w:r w:rsidRPr="005B3DA8">
        <w:rPr>
          <w:rFonts w:ascii="Times New Roman" w:eastAsia="Times New Roman" w:hAnsi="Times New Roman" w:cs="Times New Roman"/>
          <w:sz w:val="23"/>
          <w:szCs w:val="23"/>
          <w:lang w:val="en-US"/>
        </w:rPr>
        <w:t xml:space="preserve">. Current global policy discourses on universal health coverage (UHC) have </w:t>
      </w:r>
      <w:r w:rsidRPr="00375665">
        <w:rPr>
          <w:rFonts w:ascii="Times New Roman" w:eastAsia="Times New Roman" w:hAnsi="Times New Roman" w:cs="Times New Roman"/>
          <w:sz w:val="23"/>
          <w:szCs w:val="23"/>
          <w:lang w:val="en-US"/>
        </w:rPr>
        <w:t>focused</w:t>
      </w:r>
      <w:r w:rsidRPr="005B3DA8">
        <w:rPr>
          <w:rFonts w:ascii="Times New Roman" w:eastAsia="Times New Roman" w:hAnsi="Times New Roman" w:cs="Times New Roman"/>
          <w:sz w:val="23"/>
          <w:szCs w:val="23"/>
          <w:lang w:val="en-US"/>
        </w:rPr>
        <w:t xml:space="preserve"> attention on the need for increased government funding for health care in many low and middle-income countries. To this end, </w:t>
      </w:r>
      <w:proofErr w:type="spellStart"/>
      <w:r w:rsidRPr="005B3DA8">
        <w:rPr>
          <w:rFonts w:ascii="Times New Roman" w:eastAsia="Times New Roman" w:hAnsi="Times New Roman" w:cs="Times New Roman"/>
          <w:sz w:val="23"/>
          <w:szCs w:val="23"/>
          <w:lang w:val="en-US"/>
        </w:rPr>
        <w:t>recognising</w:t>
      </w:r>
      <w:proofErr w:type="spellEnd"/>
      <w:r w:rsidRPr="005B3DA8">
        <w:rPr>
          <w:rFonts w:ascii="Times New Roman" w:eastAsia="Times New Roman" w:hAnsi="Times New Roman" w:cs="Times New Roman"/>
          <w:sz w:val="23"/>
          <w:szCs w:val="23"/>
          <w:lang w:val="en-US"/>
        </w:rPr>
        <w:t xml:space="preserve"> that fast- tracking HIV/AIDS responses is key to progress towards universal health coverage – owing to its significance in terms of fiscal and burden of disease terms – Uganda has, since 2014, approved the establishment of an AIDS Trust Fund. The growing commitment to UHC notwithstanding, there is paucity of empirical evidence on how disease-specific funding can be leveraged to progress towards UHC. The objective of this paper is to empirically </w:t>
      </w:r>
      <w:proofErr w:type="spellStart"/>
      <w:r w:rsidRPr="005B3DA8">
        <w:rPr>
          <w:rFonts w:ascii="Times New Roman" w:eastAsia="Times New Roman" w:hAnsi="Times New Roman" w:cs="Times New Roman"/>
          <w:sz w:val="23"/>
          <w:szCs w:val="23"/>
          <w:lang w:val="en-US"/>
        </w:rPr>
        <w:t>analyse</w:t>
      </w:r>
      <w:proofErr w:type="spellEnd"/>
      <w:r w:rsidRPr="005B3DA8">
        <w:rPr>
          <w:rFonts w:ascii="Times New Roman" w:eastAsia="Times New Roman" w:hAnsi="Times New Roman" w:cs="Times New Roman"/>
          <w:sz w:val="23"/>
          <w:szCs w:val="23"/>
          <w:lang w:val="en-US"/>
        </w:rPr>
        <w:t xml:space="preserve"> how the AIDS T</w:t>
      </w:r>
      <w:r w:rsidRPr="005B3DA8">
        <w:rPr>
          <w:rFonts w:ascii="Times New Roman" w:eastAsia="Times New Roman" w:hAnsi="Times New Roman" w:cs="Times New Roman"/>
          <w:sz w:val="23"/>
          <w:szCs w:val="23"/>
          <w:shd w:val="clear" w:color="auto" w:fill="FFFFFF"/>
          <w:lang w:val="en-US"/>
        </w:rPr>
        <w:t xml:space="preserve">rust Funds can be leveraged for financing UHC through the National Health Insurance Scheme, including </w:t>
      </w:r>
      <w:r w:rsidRPr="005B3DA8">
        <w:rPr>
          <w:rFonts w:ascii="Times New Roman" w:eastAsia="Times New Roman" w:hAnsi="Times New Roman" w:cs="Times New Roman"/>
          <w:sz w:val="23"/>
          <w:szCs w:val="23"/>
          <w:lang w:val="en-US"/>
        </w:rPr>
        <w:t>an explicit quantification of the ensuing health and poverty alleviation benefits and</w:t>
      </w:r>
      <w:r w:rsidRPr="00375665">
        <w:rPr>
          <w:rFonts w:ascii="Times New Roman" w:eastAsia="Times New Roman" w:hAnsi="Times New Roman" w:cs="Times New Roman"/>
          <w:sz w:val="23"/>
          <w:szCs w:val="23"/>
          <w:lang w:val="en-US"/>
        </w:rPr>
        <w:t xml:space="preserve"> </w:t>
      </w:r>
      <w:r w:rsidRPr="005B3DA8">
        <w:rPr>
          <w:rFonts w:ascii="Times New Roman" w:eastAsia="Times New Roman" w:hAnsi="Times New Roman" w:cs="Times New Roman"/>
          <w:sz w:val="23"/>
          <w:szCs w:val="23"/>
          <w:lang w:val="en-US"/>
        </w:rPr>
        <w:t xml:space="preserve">distributional consequences of this health financing policy. </w:t>
      </w:r>
    </w:p>
    <w:p w14:paraId="20A5B9BD" w14:textId="77777777" w:rsidR="005B3DA8" w:rsidRPr="005B3DA8" w:rsidRDefault="005B3DA8" w:rsidP="005B3DA8">
      <w:pPr>
        <w:spacing w:before="100" w:beforeAutospacing="1" w:after="100" w:afterAutospacing="1" w:line="240" w:lineRule="auto"/>
        <w:jc w:val="both"/>
        <w:rPr>
          <w:rFonts w:ascii="Times New Roman" w:eastAsia="Times New Roman" w:hAnsi="Times New Roman" w:cs="Times New Roman"/>
          <w:sz w:val="23"/>
          <w:szCs w:val="23"/>
          <w:lang w:val="en-US"/>
        </w:rPr>
      </w:pPr>
      <w:r w:rsidRPr="005B3DA8">
        <w:rPr>
          <w:rFonts w:ascii="Times New Roman" w:eastAsia="Times New Roman" w:hAnsi="Times New Roman" w:cs="Times New Roman"/>
          <w:b/>
          <w:bCs/>
          <w:sz w:val="23"/>
          <w:szCs w:val="23"/>
          <w:lang w:val="en-US"/>
        </w:rPr>
        <w:t>Methods</w:t>
      </w:r>
      <w:r w:rsidRPr="005B3DA8">
        <w:rPr>
          <w:rFonts w:ascii="Times New Roman" w:eastAsia="Times New Roman" w:hAnsi="Times New Roman" w:cs="Times New Roman"/>
          <w:sz w:val="23"/>
          <w:szCs w:val="23"/>
          <w:lang w:val="en-US"/>
        </w:rPr>
        <w:t xml:space="preserve">: To integrate equity and financial protection considerations into traditional cost-effectiveness analysis (CEA), this paper uses state of the art “extended cost-effectiveness analysis” (ECEA). This provides a methodological framework of economic evaluation to determine the distributional and financial risk protection consequences of UHC financing policy in Uganda. Specifically, the benefits explored span over four dimensions: health benefits, direct costs, financial risk protection and, distributional consequence over income quintiles. Additionally, the basic principles that any decision rules should embody are articulated. The incidence, health service </w:t>
      </w:r>
      <w:proofErr w:type="spellStart"/>
      <w:r w:rsidRPr="005B3DA8">
        <w:rPr>
          <w:rFonts w:ascii="Times New Roman" w:eastAsia="Times New Roman" w:hAnsi="Times New Roman" w:cs="Times New Roman"/>
          <w:sz w:val="23"/>
          <w:szCs w:val="23"/>
          <w:lang w:val="en-US"/>
        </w:rPr>
        <w:t>utilisation</w:t>
      </w:r>
      <w:proofErr w:type="spellEnd"/>
      <w:r w:rsidRPr="005B3DA8">
        <w:rPr>
          <w:rFonts w:ascii="Times New Roman" w:eastAsia="Times New Roman" w:hAnsi="Times New Roman" w:cs="Times New Roman"/>
          <w:sz w:val="23"/>
          <w:szCs w:val="23"/>
          <w:lang w:val="en-US"/>
        </w:rPr>
        <w:t xml:space="preserve"> and expenditure related to UHC per national income quintiles was obtained from multiple data sources. </w:t>
      </w:r>
    </w:p>
    <w:p w14:paraId="10D35909" w14:textId="77777777" w:rsidR="005B3DA8" w:rsidRPr="005B3DA8" w:rsidRDefault="005B3DA8" w:rsidP="005B3DA8">
      <w:pPr>
        <w:spacing w:before="100" w:beforeAutospacing="1" w:after="100" w:afterAutospacing="1" w:line="240" w:lineRule="auto"/>
        <w:jc w:val="both"/>
        <w:rPr>
          <w:rFonts w:ascii="Times New Roman" w:eastAsia="Times New Roman" w:hAnsi="Times New Roman" w:cs="Times New Roman"/>
          <w:sz w:val="23"/>
          <w:szCs w:val="23"/>
          <w:lang w:val="en-US"/>
        </w:rPr>
      </w:pPr>
      <w:r w:rsidRPr="005B3DA8">
        <w:rPr>
          <w:rFonts w:ascii="Times New Roman" w:eastAsia="Times New Roman" w:hAnsi="Times New Roman" w:cs="Times New Roman"/>
          <w:b/>
          <w:bCs/>
          <w:sz w:val="23"/>
          <w:szCs w:val="23"/>
          <w:lang w:val="en-US"/>
        </w:rPr>
        <w:t>Results</w:t>
      </w:r>
      <w:r w:rsidRPr="005B3DA8">
        <w:rPr>
          <w:rFonts w:ascii="Times New Roman" w:eastAsia="Times New Roman" w:hAnsi="Times New Roman" w:cs="Times New Roman"/>
          <w:sz w:val="23"/>
          <w:szCs w:val="23"/>
          <w:lang w:val="en-US"/>
        </w:rPr>
        <w:t xml:space="preserve">: The ensuing health benefits of the AIDS Trust Fund in financing priority health programs towards UHC and reducing out-of-pocket (OOP) expenditure are distributed fairly evenly across quintiles. This, in turn, </w:t>
      </w:r>
      <w:r w:rsidRPr="005B3DA8">
        <w:rPr>
          <w:rFonts w:ascii="Times New Roman" w:eastAsia="Times New Roman" w:hAnsi="Times New Roman" w:cs="Times New Roman"/>
          <w:sz w:val="23"/>
          <w:szCs w:val="23"/>
          <w:shd w:val="clear" w:color="auto" w:fill="FFFFFF"/>
          <w:lang w:val="en-US"/>
        </w:rPr>
        <w:t>could bring substantial health gains and financial risk protection benefits. However, p</w:t>
      </w:r>
      <w:r w:rsidRPr="005B3DA8">
        <w:rPr>
          <w:rFonts w:ascii="Times New Roman" w:eastAsia="Times New Roman" w:hAnsi="Times New Roman" w:cs="Times New Roman"/>
          <w:sz w:val="23"/>
          <w:szCs w:val="23"/>
          <w:lang w:val="en-US"/>
        </w:rPr>
        <w:t xml:space="preserve">overty alleviation benefits are concentrated among the poorest </w:t>
      </w:r>
      <w:proofErr w:type="gramStart"/>
      <w:r w:rsidRPr="005B3DA8">
        <w:rPr>
          <w:rFonts w:ascii="Times New Roman" w:eastAsia="Times New Roman" w:hAnsi="Times New Roman" w:cs="Times New Roman"/>
          <w:sz w:val="23"/>
          <w:szCs w:val="23"/>
          <w:lang w:val="en-US"/>
        </w:rPr>
        <w:t>populations</w:t>
      </w:r>
      <w:proofErr w:type="gramEnd"/>
      <w:r w:rsidRPr="005B3DA8">
        <w:rPr>
          <w:rFonts w:ascii="Times New Roman" w:eastAsia="Times New Roman" w:hAnsi="Times New Roman" w:cs="Times New Roman"/>
          <w:sz w:val="23"/>
          <w:szCs w:val="23"/>
          <w:lang w:val="en-US"/>
        </w:rPr>
        <w:t xml:space="preserve"> groups. Finally, the AIDS Trust Fund, as a revenue stream – in the absence of integration into health financing systems – may result in inefficient spending allocations. </w:t>
      </w:r>
    </w:p>
    <w:p w14:paraId="60EB0BD1" w14:textId="5BD5F3DE" w:rsidR="005B3DA8" w:rsidRPr="00375665" w:rsidRDefault="005B3DA8" w:rsidP="00375665">
      <w:pPr>
        <w:spacing w:before="100" w:beforeAutospacing="1" w:after="100" w:afterAutospacing="1" w:line="240" w:lineRule="auto"/>
        <w:jc w:val="both"/>
        <w:rPr>
          <w:rFonts w:ascii="Times New Roman" w:eastAsia="Times New Roman" w:hAnsi="Times New Roman" w:cs="Times New Roman"/>
          <w:sz w:val="23"/>
          <w:szCs w:val="23"/>
          <w:lang w:val="en-US"/>
        </w:rPr>
      </w:pPr>
      <w:r w:rsidRPr="005B3DA8">
        <w:rPr>
          <w:rFonts w:ascii="Times New Roman" w:eastAsia="Times New Roman" w:hAnsi="Times New Roman" w:cs="Times New Roman"/>
          <w:b/>
          <w:bCs/>
          <w:sz w:val="23"/>
          <w:szCs w:val="23"/>
          <w:shd w:val="clear" w:color="auto" w:fill="FFFFFF"/>
          <w:lang w:val="en-US"/>
        </w:rPr>
        <w:t>Conclusions</w:t>
      </w:r>
      <w:r w:rsidRPr="005B3DA8">
        <w:rPr>
          <w:rFonts w:ascii="Times New Roman" w:eastAsia="Times New Roman" w:hAnsi="Times New Roman" w:cs="Times New Roman"/>
          <w:sz w:val="23"/>
          <w:szCs w:val="23"/>
          <w:shd w:val="clear" w:color="auto" w:fill="FFFFFF"/>
          <w:lang w:val="en-US"/>
        </w:rPr>
        <w:t xml:space="preserve">: </w:t>
      </w:r>
      <w:r w:rsidRPr="005B3DA8">
        <w:rPr>
          <w:rFonts w:ascii="Times New Roman" w:eastAsia="Times New Roman" w:hAnsi="Times New Roman" w:cs="Times New Roman"/>
          <w:sz w:val="23"/>
          <w:szCs w:val="23"/>
          <w:lang w:val="en-US"/>
        </w:rPr>
        <w:t xml:space="preserve">This paper calls for an overhaul of the health economist’s methodological toolbox owing to two distinct features of the AIDS epidemic and response that make application of standard economic evaluations methods altogether unsatisfactory. ECEA builds on standard cost-effectiveness analysis (CEA) in three dimensions, all of which enhance the ability of stakeholders to evaluate health financing policy. The methods we developed and employed in this study can therefore be a useful application in further analyzing public policy across a wide range of health financing policy instruments and places. Also, this paper discusses the role of trust funds of financing priority health programs in the practice of and the policy discourse on the sustainable financing of UHC, and also draws lessons from the non‐health‐specific literature on earmarked taxes and extrabudgetary funds. </w:t>
      </w:r>
      <w:bookmarkStart w:id="0" w:name="_GoBack"/>
      <w:bookmarkEnd w:id="0"/>
    </w:p>
    <w:sectPr w:rsidR="005B3DA8" w:rsidRPr="00375665" w:rsidSect="007D3C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DA8"/>
    <w:rsid w:val="00080D09"/>
    <w:rsid w:val="00375665"/>
    <w:rsid w:val="003C0A5B"/>
    <w:rsid w:val="004510BB"/>
    <w:rsid w:val="005B3DA8"/>
    <w:rsid w:val="007D3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C0ED3AE"/>
  <w15:chartTrackingRefBased/>
  <w15:docId w15:val="{749F7955-981B-8548-9A37-F3E1A104C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B3DA8"/>
    <w:pPr>
      <w:spacing w:after="120" w:line="264" w:lineRule="auto"/>
    </w:pPr>
    <w:rPr>
      <w:sz w:val="22"/>
      <w:szCs w:val="22"/>
      <w:lang w:val="en-GB"/>
    </w:rPr>
  </w:style>
  <w:style w:type="paragraph" w:styleId="Heading1">
    <w:name w:val="heading 1"/>
    <w:basedOn w:val="Normal"/>
    <w:next w:val="Normal"/>
    <w:link w:val="Heading1Char"/>
    <w:uiPriority w:val="9"/>
    <w:qFormat/>
    <w:rsid w:val="005B3DA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5B3DA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3DA8"/>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5B3DA8"/>
    <w:rPr>
      <w:rFonts w:asciiTheme="majorHAnsi" w:eastAsiaTheme="majorEastAsia" w:hAnsiTheme="majorHAnsi" w:cstheme="majorBidi"/>
      <w:color w:val="1F3763" w:themeColor="accent1" w:themeShade="7F"/>
      <w:lang w:val="en-GB"/>
    </w:rPr>
  </w:style>
  <w:style w:type="character" w:styleId="Strong">
    <w:name w:val="Strong"/>
    <w:basedOn w:val="DefaultParagraphFont"/>
    <w:uiPriority w:val="22"/>
    <w:qFormat/>
    <w:rsid w:val="005B3DA8"/>
    <w:rPr>
      <w:b/>
      <w:bCs/>
    </w:rPr>
  </w:style>
  <w:style w:type="paragraph" w:styleId="NoSpacing">
    <w:name w:val="No Spacing"/>
    <w:link w:val="NoSpacingChar"/>
    <w:uiPriority w:val="1"/>
    <w:qFormat/>
    <w:rsid w:val="005B3DA8"/>
    <w:rPr>
      <w:rFonts w:ascii="Calibri" w:eastAsia="Times New Roman" w:hAnsi="Calibri" w:cs="Times New Roman"/>
      <w:sz w:val="21"/>
      <w:szCs w:val="21"/>
      <w:lang w:val="en-GB" w:eastAsia="en-GB"/>
    </w:rPr>
  </w:style>
  <w:style w:type="character" w:customStyle="1" w:styleId="NoSpacingChar">
    <w:name w:val="No Spacing Char"/>
    <w:link w:val="NoSpacing"/>
    <w:uiPriority w:val="1"/>
    <w:rsid w:val="005B3DA8"/>
    <w:rPr>
      <w:rFonts w:ascii="Calibri" w:eastAsia="Times New Roman" w:hAnsi="Calibri" w:cs="Times New Roman"/>
      <w:sz w:val="21"/>
      <w:szCs w:val="21"/>
      <w:lang w:val="en-GB" w:eastAsia="en-GB"/>
    </w:rPr>
  </w:style>
  <w:style w:type="character" w:styleId="Hyperlink">
    <w:name w:val="Hyperlink"/>
    <w:basedOn w:val="DefaultParagraphFont"/>
    <w:uiPriority w:val="99"/>
    <w:semiHidden/>
    <w:unhideWhenUsed/>
    <w:rsid w:val="005B3DA8"/>
    <w:rPr>
      <w:color w:val="0000FF"/>
      <w:u w:val="single"/>
    </w:rPr>
  </w:style>
  <w:style w:type="paragraph" w:styleId="NormalWeb">
    <w:name w:val="Normal (Web)"/>
    <w:basedOn w:val="Normal"/>
    <w:uiPriority w:val="99"/>
    <w:unhideWhenUsed/>
    <w:rsid w:val="005B3DA8"/>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3063393">
      <w:bodyDiv w:val="1"/>
      <w:marLeft w:val="0"/>
      <w:marRight w:val="0"/>
      <w:marTop w:val="0"/>
      <w:marBottom w:val="0"/>
      <w:divBdr>
        <w:top w:val="none" w:sz="0" w:space="0" w:color="auto"/>
        <w:left w:val="none" w:sz="0" w:space="0" w:color="auto"/>
        <w:bottom w:val="none" w:sz="0" w:space="0" w:color="auto"/>
        <w:right w:val="none" w:sz="0" w:space="0" w:color="auto"/>
      </w:divBdr>
      <w:divsChild>
        <w:div w:id="74011855">
          <w:marLeft w:val="0"/>
          <w:marRight w:val="0"/>
          <w:marTop w:val="0"/>
          <w:marBottom w:val="0"/>
          <w:divBdr>
            <w:top w:val="none" w:sz="0" w:space="0" w:color="auto"/>
            <w:left w:val="none" w:sz="0" w:space="0" w:color="auto"/>
            <w:bottom w:val="none" w:sz="0" w:space="0" w:color="auto"/>
            <w:right w:val="none" w:sz="0" w:space="0" w:color="auto"/>
          </w:divBdr>
          <w:divsChild>
            <w:div w:id="1430587686">
              <w:marLeft w:val="0"/>
              <w:marRight w:val="0"/>
              <w:marTop w:val="0"/>
              <w:marBottom w:val="0"/>
              <w:divBdr>
                <w:top w:val="none" w:sz="0" w:space="0" w:color="auto"/>
                <w:left w:val="none" w:sz="0" w:space="0" w:color="auto"/>
                <w:bottom w:val="none" w:sz="0" w:space="0" w:color="auto"/>
                <w:right w:val="none" w:sz="0" w:space="0" w:color="auto"/>
              </w:divBdr>
              <w:divsChild>
                <w:div w:id="343240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251821">
      <w:bodyDiv w:val="1"/>
      <w:marLeft w:val="0"/>
      <w:marRight w:val="0"/>
      <w:marTop w:val="0"/>
      <w:marBottom w:val="0"/>
      <w:divBdr>
        <w:top w:val="none" w:sz="0" w:space="0" w:color="auto"/>
        <w:left w:val="none" w:sz="0" w:space="0" w:color="auto"/>
        <w:bottom w:val="none" w:sz="0" w:space="0" w:color="auto"/>
        <w:right w:val="none" w:sz="0" w:space="0" w:color="auto"/>
      </w:divBdr>
      <w:divsChild>
        <w:div w:id="397946237">
          <w:marLeft w:val="0"/>
          <w:marRight w:val="0"/>
          <w:marTop w:val="0"/>
          <w:marBottom w:val="0"/>
          <w:divBdr>
            <w:top w:val="none" w:sz="0" w:space="0" w:color="auto"/>
            <w:left w:val="none" w:sz="0" w:space="0" w:color="auto"/>
            <w:bottom w:val="none" w:sz="0" w:space="0" w:color="auto"/>
            <w:right w:val="none" w:sz="0" w:space="0" w:color="auto"/>
          </w:divBdr>
          <w:divsChild>
            <w:div w:id="355623647">
              <w:marLeft w:val="0"/>
              <w:marRight w:val="0"/>
              <w:marTop w:val="0"/>
              <w:marBottom w:val="0"/>
              <w:divBdr>
                <w:top w:val="none" w:sz="0" w:space="0" w:color="auto"/>
                <w:left w:val="none" w:sz="0" w:space="0" w:color="auto"/>
                <w:bottom w:val="none" w:sz="0" w:space="0" w:color="auto"/>
                <w:right w:val="none" w:sz="0" w:space="0" w:color="auto"/>
              </w:divBdr>
              <w:divsChild>
                <w:div w:id="1865553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charles.birungi.14@ucl.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561</Words>
  <Characters>3202</Characters>
  <Application>Microsoft Office Word</Application>
  <DocSecurity>0</DocSecurity>
  <Lines>26</Lines>
  <Paragraphs>7</Paragraphs>
  <ScaleCrop>false</ScaleCrop>
  <Company/>
  <LinksUpToDate>false</LinksUpToDate>
  <CharactersWithSpaces>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BIRUNGI</dc:creator>
  <cp:keywords/>
  <dc:description/>
  <cp:lastModifiedBy>Charles BIRUNGI</cp:lastModifiedBy>
  <cp:revision>2</cp:revision>
  <dcterms:created xsi:type="dcterms:W3CDTF">2018-10-31T19:47:00Z</dcterms:created>
  <dcterms:modified xsi:type="dcterms:W3CDTF">2018-10-31T19:55:00Z</dcterms:modified>
</cp:coreProperties>
</file>