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03" w:rsidRDefault="006D0A03" w:rsidP="006D0A03">
      <w:pPr>
        <w:spacing w:after="0" w:line="360" w:lineRule="auto"/>
        <w:jc w:val="both"/>
        <w:rPr>
          <w:rFonts w:ascii="Candara" w:hAnsi="Candara" w:cs="Univers 55"/>
          <w:b/>
          <w:color w:val="44546A" w:themeColor="text2"/>
          <w:sz w:val="24"/>
          <w:szCs w:val="24"/>
        </w:rPr>
      </w:pPr>
      <w:r w:rsidRPr="00900BE6">
        <w:rPr>
          <w:rFonts w:ascii="Candara" w:hAnsi="Candara" w:cs="Univers 55"/>
          <w:b/>
          <w:color w:val="44546A" w:themeColor="text2"/>
          <w:sz w:val="24"/>
          <w:szCs w:val="24"/>
        </w:rPr>
        <w:t>Impact of O</w:t>
      </w:r>
      <w:r>
        <w:rPr>
          <w:rFonts w:ascii="Candara" w:hAnsi="Candara" w:cs="Univers 55"/>
          <w:b/>
          <w:color w:val="44546A" w:themeColor="text2"/>
          <w:sz w:val="24"/>
          <w:szCs w:val="24"/>
        </w:rPr>
        <w:t xml:space="preserve">ut of Pocket Payments </w:t>
      </w:r>
      <w:r w:rsidRPr="00900BE6">
        <w:rPr>
          <w:rFonts w:ascii="Candara" w:hAnsi="Candara" w:cs="Univers 55"/>
          <w:b/>
          <w:color w:val="44546A" w:themeColor="text2"/>
          <w:sz w:val="24"/>
          <w:szCs w:val="24"/>
        </w:rPr>
        <w:t xml:space="preserve">on Financial Protection Indicators in a setting with no user fees: The case of Mauritius </w:t>
      </w:r>
    </w:p>
    <w:p w:rsidR="006D0A03" w:rsidRPr="00A43F93" w:rsidRDefault="006D0A03" w:rsidP="006D0A03">
      <w:pPr>
        <w:spacing w:after="0" w:line="240" w:lineRule="auto"/>
        <w:rPr>
          <w:rFonts w:ascii="Candara" w:eastAsia="Times New Roman" w:hAnsi="Candara" w:cs="Arial"/>
          <w:lang w:val="en-US"/>
        </w:rPr>
      </w:pPr>
      <w:r w:rsidRPr="00A43F93">
        <w:rPr>
          <w:rFonts w:ascii="Candara" w:hAnsi="Candara" w:cs="Univers 55"/>
          <w:b/>
          <w:color w:val="44546A" w:themeColor="text2"/>
        </w:rPr>
        <w:t xml:space="preserve">Yusuf </w:t>
      </w:r>
      <w:proofErr w:type="spellStart"/>
      <w:r w:rsidRPr="00A43F93">
        <w:rPr>
          <w:rFonts w:ascii="Candara" w:hAnsi="Candara" w:cs="Univers 55"/>
          <w:b/>
          <w:color w:val="44546A" w:themeColor="text2"/>
        </w:rPr>
        <w:t>Thora</w:t>
      </w:r>
      <w:r>
        <w:rPr>
          <w:rFonts w:ascii="Candara" w:hAnsi="Candara" w:cs="Univers 55"/>
          <w:b/>
          <w:color w:val="44546A" w:themeColor="text2"/>
        </w:rPr>
        <w:t>ba</w:t>
      </w:r>
      <w:r w:rsidRPr="00A43F93">
        <w:rPr>
          <w:rFonts w:ascii="Candara" w:hAnsi="Candara" w:cs="Univers 55"/>
          <w:b/>
          <w:color w:val="44546A" w:themeColor="text2"/>
        </w:rPr>
        <w:t>lly</w:t>
      </w:r>
      <w:proofErr w:type="spellEnd"/>
      <w:r w:rsidRPr="00A43F93">
        <w:rPr>
          <w:rStyle w:val="FootnoteReference"/>
          <w:rFonts w:ascii="Candara" w:eastAsia="Times New Roman" w:hAnsi="Candara" w:cs="Arial"/>
          <w:color w:val="FFFFFF" w:themeColor="background1"/>
          <w:lang w:val="en-US"/>
        </w:rPr>
        <w:footnoteReference w:id="1"/>
      </w:r>
      <w:r w:rsidRPr="00A43F93">
        <w:rPr>
          <w:rFonts w:ascii="Candara" w:eastAsia="Times New Roman" w:hAnsi="Candara" w:cs="Arial"/>
          <w:vertAlign w:val="superscript"/>
          <w:lang w:val="en-US"/>
        </w:rPr>
        <w:t>†</w:t>
      </w:r>
      <w:r>
        <w:rPr>
          <w:rFonts w:ascii="Candara" w:eastAsia="Times New Roman" w:hAnsi="Candara" w:cs="Arial"/>
          <w:vertAlign w:val="superscript"/>
          <w:lang w:val="en-US"/>
        </w:rPr>
        <w:t xml:space="preserve"> </w:t>
      </w:r>
      <w:proofErr w:type="gramStart"/>
      <w:r>
        <w:rPr>
          <w:rFonts w:ascii="Candara" w:eastAsia="Times New Roman" w:hAnsi="Candara" w:cs="Arial"/>
          <w:vertAlign w:val="superscript"/>
          <w:lang w:val="en-US"/>
        </w:rPr>
        <w:t xml:space="preserve">1 </w:t>
      </w:r>
      <w:r>
        <w:rPr>
          <w:rFonts w:ascii="Candara" w:eastAsia="Times New Roman" w:hAnsi="Candara" w:cs="Arial"/>
          <w:lang w:val="en-US"/>
        </w:rPr>
        <w:t>,</w:t>
      </w:r>
      <w:proofErr w:type="gramEnd"/>
      <w:r>
        <w:rPr>
          <w:rFonts w:ascii="Candara" w:eastAsia="Times New Roman" w:hAnsi="Candara" w:cs="Arial"/>
          <w:lang w:val="en-US"/>
        </w:rPr>
        <w:t xml:space="preserve"> </w:t>
      </w:r>
      <w:r>
        <w:rPr>
          <w:rFonts w:ascii="Candara" w:hAnsi="Candara" w:cs="Univers 55"/>
          <w:b/>
          <w:color w:val="44546A" w:themeColor="text2"/>
        </w:rPr>
        <w:t xml:space="preserve">Ajoy </w:t>
      </w:r>
      <w:proofErr w:type="spellStart"/>
      <w:r>
        <w:rPr>
          <w:rFonts w:ascii="Candara" w:hAnsi="Candara" w:cs="Univers 55"/>
          <w:b/>
          <w:color w:val="44546A" w:themeColor="text2"/>
        </w:rPr>
        <w:t>Nundoochan</w:t>
      </w:r>
      <w:proofErr w:type="spellEnd"/>
      <w:r>
        <w:rPr>
          <w:rFonts w:ascii="Candara" w:hAnsi="Candara" w:cs="Univers 55"/>
          <w:b/>
          <w:color w:val="44546A" w:themeColor="text2"/>
        </w:rPr>
        <w:t xml:space="preserve"> </w:t>
      </w:r>
      <w:r w:rsidRPr="00A43F93">
        <w:rPr>
          <w:rFonts w:ascii="Candara" w:eastAsia="Times New Roman" w:hAnsi="Candara" w:cs="Arial"/>
          <w:vertAlign w:val="superscript"/>
          <w:lang w:val="en-US"/>
        </w:rPr>
        <w:t>†</w:t>
      </w:r>
      <w:r>
        <w:rPr>
          <w:rFonts w:ascii="Candara" w:eastAsia="Times New Roman" w:hAnsi="Candara" w:cs="Arial"/>
          <w:vertAlign w:val="superscript"/>
          <w:lang w:val="en-US"/>
        </w:rPr>
        <w:t xml:space="preserve"> 2 </w:t>
      </w:r>
      <w:r>
        <w:rPr>
          <w:rFonts w:ascii="Candara" w:eastAsia="Times New Roman" w:hAnsi="Candara" w:cs="Arial"/>
          <w:vertAlign w:val="superscript"/>
          <w:lang w:val="en-US"/>
        </w:rPr>
        <w:sym w:font="Wingdings" w:char="F02A"/>
      </w:r>
      <w:r>
        <w:rPr>
          <w:rFonts w:ascii="Candara" w:eastAsia="Times New Roman" w:hAnsi="Candara" w:cs="Arial"/>
          <w:vertAlign w:val="superscript"/>
          <w:lang w:val="en-US"/>
        </w:rPr>
        <w:t xml:space="preserve"> </w:t>
      </w:r>
      <w:r>
        <w:rPr>
          <w:rFonts w:ascii="Candara" w:hAnsi="Candara" w:cs="Univers 55"/>
          <w:b/>
          <w:color w:val="44546A" w:themeColor="text2"/>
        </w:rPr>
        <w:t xml:space="preserve">, </w:t>
      </w:r>
      <w:proofErr w:type="spellStart"/>
      <w:r>
        <w:rPr>
          <w:rFonts w:ascii="Candara" w:hAnsi="Candara" w:cs="Univers 55"/>
          <w:b/>
          <w:color w:val="44546A" w:themeColor="text2"/>
        </w:rPr>
        <w:t>Sooneeraz</w:t>
      </w:r>
      <w:proofErr w:type="spellEnd"/>
      <w:r>
        <w:rPr>
          <w:rFonts w:ascii="Candara" w:hAnsi="Candara" w:cs="Univers 55"/>
          <w:b/>
          <w:color w:val="44546A" w:themeColor="text2"/>
        </w:rPr>
        <w:t xml:space="preserve"> </w:t>
      </w:r>
      <w:proofErr w:type="spellStart"/>
      <w:r>
        <w:rPr>
          <w:rFonts w:ascii="Candara" w:hAnsi="Candara" w:cs="Univers 55"/>
          <w:b/>
          <w:color w:val="44546A" w:themeColor="text2"/>
        </w:rPr>
        <w:t>Monohur</w:t>
      </w:r>
      <w:proofErr w:type="spellEnd"/>
      <w:r>
        <w:rPr>
          <w:rFonts w:ascii="Candara" w:hAnsi="Candara" w:cs="Univers 55"/>
          <w:b/>
          <w:color w:val="44546A" w:themeColor="text2"/>
        </w:rPr>
        <w:t xml:space="preserve"> </w:t>
      </w:r>
      <w:r w:rsidRPr="00A43F93">
        <w:rPr>
          <w:rFonts w:ascii="Candara" w:eastAsia="Times New Roman" w:hAnsi="Candara" w:cs="Arial"/>
          <w:vertAlign w:val="superscript"/>
          <w:lang w:val="en-US"/>
        </w:rPr>
        <w:t>†</w:t>
      </w:r>
      <w:r>
        <w:rPr>
          <w:rFonts w:ascii="Candara" w:eastAsia="Times New Roman" w:hAnsi="Candara" w:cs="Arial"/>
          <w:vertAlign w:val="superscript"/>
          <w:lang w:val="en-US"/>
        </w:rPr>
        <w:t xml:space="preserve"> 3 </w:t>
      </w:r>
      <w:r w:rsidRPr="00BC74EF">
        <w:rPr>
          <w:rFonts w:ascii="Candara" w:eastAsia="Times New Roman" w:hAnsi="Candara" w:cs="Arial"/>
          <w:b/>
          <w:color w:val="323E4F" w:themeColor="text2" w:themeShade="BF"/>
          <w:lang w:val="en-US"/>
        </w:rPr>
        <w:t>and Justine Hsu</w:t>
      </w:r>
      <w:r w:rsidRPr="00BC74EF">
        <w:rPr>
          <w:rFonts w:ascii="Candara" w:eastAsia="Times New Roman" w:hAnsi="Candara" w:cs="Arial"/>
          <w:color w:val="323E4F" w:themeColor="text2" w:themeShade="BF"/>
          <w:lang w:val="en-US"/>
        </w:rPr>
        <w:t xml:space="preserve"> </w:t>
      </w:r>
      <w:r>
        <w:rPr>
          <w:rFonts w:ascii="Candara" w:eastAsia="Times New Roman" w:hAnsi="Candara" w:cs="Arial"/>
          <w:vertAlign w:val="superscript"/>
          <w:lang w:val="en-US"/>
        </w:rPr>
        <w:t>4</w:t>
      </w:r>
    </w:p>
    <w:p w:rsidR="006D0A03" w:rsidRPr="00900BE6" w:rsidRDefault="006D0A03" w:rsidP="006D0A03">
      <w:pPr>
        <w:spacing w:after="0" w:line="360" w:lineRule="auto"/>
        <w:jc w:val="both"/>
        <w:rPr>
          <w:rFonts w:ascii="Candara" w:hAnsi="Candara" w:cs="Univers 55"/>
          <w:b/>
          <w:color w:val="44546A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0"/>
      </w:tblGrid>
      <w:tr w:rsidR="006D0A03" w:rsidTr="00C409A4">
        <w:tc>
          <w:tcPr>
            <w:tcW w:w="9260" w:type="dxa"/>
            <w:shd w:val="clear" w:color="auto" w:fill="D9D9D9" w:themeFill="background1" w:themeFillShade="D9"/>
          </w:tcPr>
          <w:p w:rsidR="006D0A03" w:rsidRPr="00CF6019" w:rsidRDefault="006D0A03" w:rsidP="00C409A4">
            <w:pPr>
              <w:spacing w:after="0" w:line="480" w:lineRule="auto"/>
              <w:rPr>
                <w:rFonts w:asciiTheme="minorHAnsi" w:hAnsiTheme="minorHAnsi" w:cs="Garamond"/>
                <w:b/>
                <w:color w:val="0070C0"/>
              </w:rPr>
            </w:pPr>
            <w:r w:rsidRPr="00CF6019">
              <w:rPr>
                <w:rFonts w:asciiTheme="minorHAnsi" w:hAnsiTheme="minorHAnsi" w:cs="Garamond"/>
                <w:b/>
                <w:color w:val="0070C0"/>
              </w:rPr>
              <w:t xml:space="preserve">Abstract </w:t>
            </w:r>
          </w:p>
          <w:p w:rsidR="006D0A03" w:rsidRPr="00CF6019" w:rsidRDefault="006D0A03" w:rsidP="00C409A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inorHAnsi" w:hAnsiTheme="minorHAnsi" w:cs="Candara,Italic"/>
                <w:iCs/>
              </w:rPr>
            </w:pPr>
            <w:bookmarkStart w:id="0" w:name="_Hlk505226781"/>
            <w:r w:rsidRPr="00CF6019">
              <w:rPr>
                <w:rFonts w:asciiTheme="minorHAnsi" w:hAnsiTheme="minorHAnsi" w:cs="Garamond"/>
                <w:b/>
                <w:color w:val="0070C0"/>
              </w:rPr>
              <w:t>Objectives:</w:t>
            </w:r>
            <w:r>
              <w:rPr>
                <w:rFonts w:asciiTheme="minorHAnsi" w:hAnsiTheme="minorHAnsi" w:cs="Garamond"/>
                <w:b/>
                <w:color w:val="0070C0"/>
              </w:rPr>
              <w:t xml:space="preserve"> </w:t>
            </w:r>
            <w:r w:rsidRPr="00BC74EF">
              <w:rPr>
                <w:rFonts w:asciiTheme="minorHAnsi" w:hAnsiTheme="minorHAnsi" w:cs="Garamond"/>
                <w:color w:val="000000" w:themeColor="text1"/>
              </w:rPr>
              <w:t xml:space="preserve">Since 1968 Mauritius </w:t>
            </w:r>
            <w:r>
              <w:rPr>
                <w:rFonts w:asciiTheme="minorHAnsi" w:hAnsiTheme="minorHAnsi" w:cs="Garamond"/>
                <w:color w:val="000000" w:themeColor="text1"/>
              </w:rPr>
              <w:t xml:space="preserve">provides free </w:t>
            </w:r>
            <w:r w:rsidRPr="00BC74EF">
              <w:rPr>
                <w:rFonts w:asciiTheme="minorHAnsi" w:hAnsiTheme="minorHAnsi" w:cs="Garamond"/>
                <w:color w:val="000000" w:themeColor="text1"/>
              </w:rPr>
              <w:t xml:space="preserve">health care in </w:t>
            </w:r>
            <w:r>
              <w:rPr>
                <w:rFonts w:asciiTheme="minorHAnsi" w:hAnsiTheme="minorHAnsi" w:cs="Garamond"/>
                <w:color w:val="000000" w:themeColor="text1"/>
              </w:rPr>
              <w:t xml:space="preserve">all </w:t>
            </w:r>
            <w:r w:rsidRPr="00BC74EF">
              <w:rPr>
                <w:rFonts w:asciiTheme="minorHAnsi" w:hAnsiTheme="minorHAnsi" w:cs="Garamond"/>
                <w:color w:val="000000" w:themeColor="text1"/>
              </w:rPr>
              <w:t xml:space="preserve">state-owned health facilities. </w:t>
            </w:r>
            <w:r>
              <w:rPr>
                <w:rFonts w:asciiTheme="minorHAnsi" w:hAnsiTheme="minorHAnsi" w:cs="Garamond"/>
                <w:color w:val="000000" w:themeColor="text1"/>
              </w:rPr>
              <w:t>Nevertheless s</w:t>
            </w:r>
            <w:r w:rsidRPr="00BC74EF">
              <w:rPr>
                <w:rFonts w:asciiTheme="minorHAnsi" w:hAnsiTheme="minorHAnsi" w:cs="Garamond"/>
                <w:color w:val="000000" w:themeColor="text1"/>
              </w:rPr>
              <w:t>ince 2007 Pr</w:t>
            </w:r>
            <w:r w:rsidRPr="00BC74EF">
              <w:rPr>
                <w:rFonts w:asciiTheme="minorHAnsi" w:hAnsiTheme="minorHAnsi"/>
                <w:color w:val="000000" w:themeColor="text1"/>
              </w:rPr>
              <w:t xml:space="preserve">ivate </w:t>
            </w:r>
            <w:r w:rsidRPr="00CF6019">
              <w:rPr>
                <w:rFonts w:asciiTheme="minorHAnsi" w:hAnsiTheme="minorHAnsi"/>
              </w:rPr>
              <w:t xml:space="preserve">Health Expenditure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PvtHE</w:t>
            </w:r>
            <w:proofErr w:type="spellEnd"/>
            <w:r>
              <w:rPr>
                <w:rFonts w:asciiTheme="minorHAnsi" w:hAnsiTheme="minorHAnsi"/>
              </w:rPr>
              <w:t xml:space="preserve">) has surpassed </w:t>
            </w:r>
            <w:r w:rsidRPr="00C251A8">
              <w:rPr>
                <w:rFonts w:asciiTheme="minorHAnsi" w:hAnsiTheme="minorHAnsi"/>
              </w:rPr>
              <w:t>General Government Health Expenditure</w:t>
            </w:r>
            <w:r>
              <w:rPr>
                <w:rFonts w:asciiTheme="minorHAnsi" w:hAnsiTheme="minorHAnsi"/>
              </w:rPr>
              <w:t xml:space="preserve"> as a share of total health expenditure. </w:t>
            </w:r>
            <w:proofErr w:type="spellStart"/>
            <w:r>
              <w:rPr>
                <w:rFonts w:asciiTheme="minorHAnsi" w:hAnsiTheme="minorHAnsi"/>
              </w:rPr>
              <w:t>PvtHE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E87FAB">
              <w:rPr>
                <w:rFonts w:asciiTheme="minorHAnsi" w:hAnsiTheme="minorHAnsi"/>
              </w:rPr>
              <w:t>is predomina</w:t>
            </w:r>
            <w:r>
              <w:rPr>
                <w:rFonts w:asciiTheme="minorHAnsi" w:hAnsiTheme="minorHAnsi"/>
              </w:rPr>
              <w:t>tely composed of Out of Pocket (OOP) with only 3.4</w:t>
            </w:r>
            <w:r w:rsidRPr="00E87FAB">
              <w:rPr>
                <w:rFonts w:asciiTheme="minorHAnsi" w:hAnsiTheme="minorHAnsi"/>
              </w:rPr>
              <w:t>% related to</w:t>
            </w:r>
            <w:r>
              <w:rPr>
                <w:rFonts w:asciiTheme="minorHAnsi" w:hAnsiTheme="minorHAnsi"/>
              </w:rPr>
              <w:t xml:space="preserve"> premiums for private insurance. </w:t>
            </w:r>
            <w:r w:rsidRPr="00E87FAB">
              <w:rPr>
                <w:rFonts w:asciiTheme="minorHAnsi" w:hAnsiTheme="minorHAnsi"/>
              </w:rPr>
              <w:t xml:space="preserve">OOP is known to be regressive and to impact </w:t>
            </w:r>
            <w:r>
              <w:rPr>
                <w:rFonts w:asciiTheme="minorHAnsi" w:hAnsiTheme="minorHAnsi"/>
              </w:rPr>
              <w:t xml:space="preserve">negatively </w:t>
            </w:r>
            <w:r w:rsidRPr="00E87FAB">
              <w:rPr>
                <w:rFonts w:asciiTheme="minorHAnsi" w:hAnsiTheme="minorHAnsi"/>
              </w:rPr>
              <w:t>a household’s living stan</w:t>
            </w:r>
            <w:r>
              <w:rPr>
                <w:rFonts w:asciiTheme="minorHAnsi" w:hAnsiTheme="minorHAnsi"/>
              </w:rPr>
              <w:t>d</w:t>
            </w:r>
            <w:r w:rsidRPr="00E87FAB">
              <w:rPr>
                <w:rFonts w:asciiTheme="minorHAnsi" w:hAnsiTheme="minorHAnsi"/>
              </w:rPr>
              <w:t>ards</w:t>
            </w:r>
            <w:r>
              <w:rPr>
                <w:rFonts w:asciiTheme="minorHAnsi" w:hAnsiTheme="minorHAnsi"/>
              </w:rPr>
              <w:t xml:space="preserve">.  This paper aims to </w:t>
            </w:r>
            <w:r>
              <w:rPr>
                <w:rFonts w:asciiTheme="minorHAnsi" w:hAnsiTheme="minorHAnsi" w:cs="Candara,Italic"/>
                <w:iCs/>
              </w:rPr>
              <w:t xml:space="preserve">understand </w:t>
            </w:r>
            <w:r w:rsidRPr="00CF6019">
              <w:rPr>
                <w:rFonts w:asciiTheme="minorHAnsi" w:hAnsiTheme="minorHAnsi" w:cs="Candara,Italic"/>
                <w:iCs/>
              </w:rPr>
              <w:t xml:space="preserve">trends in </w:t>
            </w:r>
            <w:r>
              <w:rPr>
                <w:rFonts w:asciiTheme="minorHAnsi" w:hAnsiTheme="minorHAnsi" w:cs="Candara,Italic"/>
                <w:iCs/>
              </w:rPr>
              <w:t xml:space="preserve">OOP and its impact on the population of Mauritius through an analysis of key indicators of </w:t>
            </w:r>
            <w:r w:rsidRPr="00CF6019">
              <w:rPr>
                <w:rFonts w:asciiTheme="minorHAnsi" w:hAnsiTheme="minorHAnsi" w:cs="Candara,Italic"/>
                <w:iCs/>
              </w:rPr>
              <w:t xml:space="preserve">financial protection </w:t>
            </w:r>
            <w:r>
              <w:rPr>
                <w:rFonts w:asciiTheme="minorHAnsi" w:hAnsiTheme="minorHAnsi" w:cs="Candara,Italic"/>
                <w:iCs/>
              </w:rPr>
              <w:t>(i.e.</w:t>
            </w:r>
            <w:r w:rsidRPr="00CF6019">
              <w:rPr>
                <w:rFonts w:asciiTheme="minorHAnsi" w:hAnsiTheme="minorHAnsi" w:cs="Candara,Italic"/>
                <w:iCs/>
              </w:rPr>
              <w:t xml:space="preserve"> Catastrophic Health Expenditure (CHE) and impoverishment due to</w:t>
            </w:r>
            <w:r w:rsidRPr="00CF6019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</w:rPr>
              <w:t>OOP</w:t>
            </w:r>
            <w:r w:rsidRPr="00CF6019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 w:rsidRPr="00CF6019">
              <w:rPr>
                <w:rFonts w:asciiTheme="minorHAnsi" w:hAnsiTheme="minorHAnsi" w:cs="Candara,Italic"/>
                <w:iCs/>
              </w:rPr>
              <w:t>health expenditure</w:t>
            </w:r>
            <w:r>
              <w:rPr>
                <w:rFonts w:asciiTheme="minorHAnsi" w:hAnsiTheme="minorHAnsi" w:cs="Candara,Italic"/>
                <w:iCs/>
              </w:rPr>
              <w:t>)</w:t>
            </w:r>
            <w:r w:rsidRPr="00CF6019">
              <w:rPr>
                <w:rFonts w:asciiTheme="minorHAnsi" w:hAnsiTheme="minorHAnsi" w:cs="Candara,Italic"/>
                <w:iCs/>
              </w:rPr>
              <w:t xml:space="preserve"> and </w:t>
            </w:r>
            <w:r w:rsidRPr="00CF6019">
              <w:rPr>
                <w:rFonts w:asciiTheme="minorHAnsi" w:hAnsiTheme="minorHAnsi" w:cs="Candara,Italic"/>
                <w:iCs/>
                <w:lang w:val="en-US"/>
              </w:rPr>
              <w:t xml:space="preserve">to identify the main drivers of </w:t>
            </w:r>
            <w:proofErr w:type="spellStart"/>
            <w:r w:rsidRPr="00CF6019">
              <w:rPr>
                <w:rFonts w:asciiTheme="minorHAnsi" w:hAnsiTheme="minorHAnsi" w:cs="Candara,Italic"/>
                <w:iCs/>
                <w:lang w:val="en-US"/>
              </w:rPr>
              <w:t>CHEs.</w:t>
            </w:r>
            <w:proofErr w:type="spellEnd"/>
          </w:p>
          <w:p w:rsidR="006D0A03" w:rsidRPr="00CF6019" w:rsidRDefault="006D0A03" w:rsidP="00C409A4">
            <w:pPr>
              <w:shd w:val="clear" w:color="auto" w:fill="D9D9D9" w:themeFill="background1" w:themeFillShade="D9"/>
              <w:spacing w:after="0" w:line="480" w:lineRule="auto"/>
              <w:jc w:val="both"/>
              <w:rPr>
                <w:rFonts w:asciiTheme="minorHAnsi" w:hAnsiTheme="minorHAnsi"/>
              </w:rPr>
            </w:pPr>
            <w:r w:rsidRPr="00CF6019">
              <w:rPr>
                <w:rFonts w:asciiTheme="minorHAnsi" w:hAnsiTheme="minorHAnsi" w:cs="Garamond"/>
                <w:b/>
                <w:color w:val="0070C0"/>
              </w:rPr>
              <w:t xml:space="preserve">Methods: </w:t>
            </w:r>
            <w:r w:rsidRPr="00CF6019">
              <w:rPr>
                <w:rFonts w:asciiTheme="minorHAnsi" w:eastAsia="Times New Roman" w:hAnsiTheme="minorHAnsi"/>
                <w:color w:val="000000"/>
              </w:rPr>
              <w:t>The Household Budget Surveys (HBS) of 2001/2002, 2006/2007 and 2012 were the primary source data. Stata v11.2 was extensively used for data analysis.</w:t>
            </w:r>
            <w:r w:rsidRPr="00CF6019">
              <w:rPr>
                <w:rFonts w:asciiTheme="minorHAnsi" w:hAnsiTheme="minorHAnsi"/>
              </w:rPr>
              <w:t xml:space="preserve"> CHE and impoverishment were used to assess financial hardships resulting from OOP payments. </w:t>
            </w:r>
            <w:r w:rsidRPr="00CF6019">
              <w:rPr>
                <w:rFonts w:asciiTheme="minorHAnsi" w:eastAsia="Times New Roman" w:hAnsiTheme="minorHAnsi"/>
                <w:color w:val="000000"/>
              </w:rPr>
              <w:t xml:space="preserve">Incidence of 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CHE </w:t>
            </w:r>
            <w:r w:rsidRPr="00CF6019">
              <w:rPr>
                <w:rFonts w:asciiTheme="minorHAnsi" w:eastAsia="Times New Roman" w:hAnsiTheme="minorHAnsi"/>
                <w:color w:val="000000"/>
              </w:rPr>
              <w:t xml:space="preserve">was estimated using two standard approaches namely the capacity to pay and the budget share. </w:t>
            </w:r>
            <w:r w:rsidRPr="00CF6019">
              <w:rPr>
                <w:rFonts w:asciiTheme="minorHAnsi" w:hAnsiTheme="minorHAnsi"/>
              </w:rPr>
              <w:t>Impoverishment due to OOP was measured by changes in the incidence of poverty and severity of poverty</w:t>
            </w:r>
            <w:r>
              <w:rPr>
                <w:rFonts w:asciiTheme="minorHAnsi" w:hAnsiTheme="minorHAnsi"/>
              </w:rPr>
              <w:t xml:space="preserve"> using the US$ 3.1 international poverty line</w:t>
            </w:r>
            <w:r w:rsidRPr="00CF6019">
              <w:rPr>
                <w:rFonts w:asciiTheme="minorHAnsi" w:hAnsiTheme="minorHAnsi"/>
              </w:rPr>
              <w:t xml:space="preserve">. To </w:t>
            </w:r>
            <w:r>
              <w:rPr>
                <w:rFonts w:asciiTheme="minorHAnsi" w:hAnsiTheme="minorHAnsi"/>
              </w:rPr>
              <w:t>identify</w:t>
            </w:r>
            <w:r w:rsidRPr="00CF6019">
              <w:rPr>
                <w:rFonts w:asciiTheme="minorHAnsi" w:hAnsiTheme="minorHAnsi"/>
              </w:rPr>
              <w:t xml:space="preserve"> determinants of CHE, we conducted a logistic regression analysis. </w:t>
            </w:r>
          </w:p>
          <w:p w:rsidR="006D0A03" w:rsidRPr="00CF6019" w:rsidRDefault="006D0A03" w:rsidP="00C409A4">
            <w:pPr>
              <w:spacing w:after="0" w:line="480" w:lineRule="auto"/>
              <w:jc w:val="both"/>
              <w:textAlignment w:val="baseline"/>
              <w:rPr>
                <w:rFonts w:asciiTheme="minorHAnsi" w:hAnsiTheme="minorHAnsi" w:cs="Garamond"/>
                <w:b/>
                <w:color w:val="0070C0"/>
              </w:rPr>
            </w:pPr>
            <w:r w:rsidRPr="00CF6019">
              <w:rPr>
                <w:rFonts w:asciiTheme="minorHAnsi" w:hAnsiTheme="minorHAnsi" w:cs="Garamond"/>
                <w:b/>
                <w:color w:val="0070C0"/>
              </w:rPr>
              <w:t xml:space="preserve">Findings: </w:t>
            </w:r>
            <w:r w:rsidRPr="00712EEE">
              <w:rPr>
                <w:rFonts w:asciiTheme="minorHAnsi" w:hAnsiTheme="minorHAnsi" w:cs="Univers 55"/>
                <w:color w:val="000000"/>
              </w:rPr>
              <w:t>Household CHE increased across all the three thresholds (</w:t>
            </w:r>
            <w:r>
              <w:rPr>
                <w:rFonts w:asciiTheme="minorHAnsi" w:hAnsiTheme="minorHAnsi" w:cs="Univers 55"/>
                <w:color w:val="000000"/>
              </w:rPr>
              <w:t xml:space="preserve">10%, </w:t>
            </w:r>
            <w:r w:rsidRPr="00712EEE">
              <w:rPr>
                <w:rFonts w:asciiTheme="minorHAnsi" w:hAnsiTheme="minorHAnsi" w:cs="Univers 55"/>
                <w:color w:val="000000"/>
              </w:rPr>
              <w:t>25% and 40%) from 2001</w:t>
            </w:r>
            <w:r w:rsidRPr="00CF6019">
              <w:rPr>
                <w:rFonts w:asciiTheme="minorHAnsi" w:hAnsiTheme="minorHAnsi" w:cs="Univers 55"/>
                <w:color w:val="000000"/>
              </w:rPr>
              <w:t xml:space="preserve"> to 2012. </w:t>
            </w:r>
            <w:r w:rsidRPr="00CF6019">
              <w:rPr>
                <w:rFonts w:asciiTheme="minorHAnsi" w:hAnsiTheme="minorHAnsi" w:cs="Garamond"/>
                <w:color w:val="000000"/>
              </w:rPr>
              <w:t>Over th</w:t>
            </w:r>
            <w:r>
              <w:rPr>
                <w:rFonts w:asciiTheme="minorHAnsi" w:hAnsiTheme="minorHAnsi" w:cs="Garamond"/>
                <w:color w:val="000000"/>
              </w:rPr>
              <w:t xml:space="preserve">is </w:t>
            </w:r>
            <w:r w:rsidRPr="00CF6019">
              <w:rPr>
                <w:rFonts w:asciiTheme="minorHAnsi" w:hAnsiTheme="minorHAnsi" w:cs="Garamond"/>
                <w:color w:val="000000"/>
              </w:rPr>
              <w:t xml:space="preserve">period, incidence of CHE </w:t>
            </w:r>
            <w:r>
              <w:rPr>
                <w:rFonts w:asciiTheme="minorHAnsi" w:hAnsiTheme="minorHAnsi" w:cs="Garamond"/>
                <w:color w:val="000000"/>
              </w:rPr>
              <w:t xml:space="preserve">was more </w:t>
            </w:r>
            <w:r w:rsidRPr="00CF6019">
              <w:rPr>
                <w:rFonts w:asciiTheme="minorHAnsi" w:hAnsiTheme="minorHAnsi" w:cs="Garamond"/>
                <w:color w:val="000000"/>
              </w:rPr>
              <w:t>significant in urban area</w:t>
            </w:r>
            <w:r>
              <w:rPr>
                <w:rFonts w:asciiTheme="minorHAnsi" w:hAnsiTheme="minorHAnsi" w:cs="Garamond"/>
                <w:color w:val="000000"/>
              </w:rPr>
              <w:t xml:space="preserve"> </w:t>
            </w:r>
            <w:r w:rsidRPr="00CF6019">
              <w:rPr>
                <w:rFonts w:asciiTheme="minorHAnsi" w:hAnsiTheme="minorHAnsi" w:cs="Garamond"/>
                <w:color w:val="000000"/>
              </w:rPr>
              <w:t xml:space="preserve">compared to 0.58 percentage point in rural area. </w:t>
            </w:r>
            <w:r w:rsidRPr="00CF6019">
              <w:rPr>
                <w:rFonts w:asciiTheme="minorHAnsi" w:hAnsiTheme="minorHAnsi"/>
              </w:rPr>
              <w:t xml:space="preserve">The highest levels of CHEs were experienced by </w:t>
            </w:r>
            <w:r>
              <w:rPr>
                <w:rFonts w:asciiTheme="minorHAnsi" w:hAnsiTheme="minorHAnsi"/>
              </w:rPr>
              <w:t xml:space="preserve">heads of households who are </w:t>
            </w:r>
            <w:r w:rsidRPr="00CF6019">
              <w:rPr>
                <w:rFonts w:asciiTheme="minorHAnsi" w:hAnsiTheme="minorHAnsi"/>
              </w:rPr>
              <w:t>retired (3.9%)</w:t>
            </w:r>
            <w:r>
              <w:rPr>
                <w:rFonts w:asciiTheme="minorHAnsi" w:hAnsiTheme="minorHAnsi"/>
              </w:rPr>
              <w:t xml:space="preserve">, </w:t>
            </w:r>
            <w:r w:rsidRPr="00CF6019">
              <w:rPr>
                <w:rFonts w:asciiTheme="minorHAnsi" w:hAnsiTheme="minorHAnsi"/>
              </w:rPr>
              <w:t xml:space="preserve">widowed (2.8%) and </w:t>
            </w:r>
            <w:r>
              <w:rPr>
                <w:rFonts w:asciiTheme="minorHAnsi" w:hAnsiTheme="minorHAnsi"/>
              </w:rPr>
              <w:t xml:space="preserve">homemakers </w:t>
            </w:r>
            <w:r w:rsidRPr="00CF6019">
              <w:rPr>
                <w:rFonts w:asciiTheme="minorHAnsi" w:hAnsiTheme="minorHAnsi"/>
              </w:rPr>
              <w:t xml:space="preserve">(2.5%). 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The share of households pushed below the poverty line due to OOP </w:t>
            </w:r>
            <w:r>
              <w:rPr>
                <w:rFonts w:asciiTheme="minorHAnsi" w:hAnsiTheme="minorHAnsi"/>
                <w:color w:val="000000" w:themeColor="text1"/>
              </w:rPr>
              <w:t xml:space="preserve">dropped from 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0.0848% in 2001/02 to 0.0445% </w:t>
            </w:r>
            <w:r>
              <w:rPr>
                <w:rFonts w:asciiTheme="minorHAnsi" w:hAnsiTheme="minorHAnsi"/>
                <w:color w:val="000000" w:themeColor="text1"/>
              </w:rPr>
              <w:t>in 2006/07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 before rising to 0.054% </w:t>
            </w:r>
            <w:r>
              <w:rPr>
                <w:rFonts w:asciiTheme="minorHAnsi" w:hAnsiTheme="minorHAnsi"/>
                <w:color w:val="000000" w:themeColor="text1"/>
              </w:rPr>
              <w:t>in 2012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. In 2012, only households classified under Quintile 1 (0.244%) and Quintile 2 (0.025%) were drifted under the poverty line </w:t>
            </w:r>
            <w:r>
              <w:rPr>
                <w:rFonts w:asciiTheme="minorHAnsi" w:hAnsiTheme="minorHAnsi"/>
                <w:color w:val="000000" w:themeColor="text1"/>
              </w:rPr>
              <w:t xml:space="preserve">due to </w:t>
            </w:r>
            <w:r w:rsidRPr="00CF6019">
              <w:rPr>
                <w:rFonts w:asciiTheme="minorHAnsi" w:hAnsiTheme="minorHAnsi"/>
                <w:color w:val="000000" w:themeColor="text1"/>
              </w:rPr>
              <w:t>OOP on health.</w:t>
            </w:r>
            <w:r w:rsidRPr="00CF6019">
              <w:rPr>
                <w:rFonts w:asciiTheme="minorHAnsi" w:eastAsia="Times New Roman" w:hAnsiTheme="minorHAnsi"/>
                <w:color w:val="000000" w:themeColor="text1"/>
              </w:rPr>
              <w:t xml:space="preserve"> </w:t>
            </w:r>
          </w:p>
          <w:p w:rsidR="006D0A03" w:rsidRPr="00CF6019" w:rsidRDefault="006D0A03" w:rsidP="00C409A4">
            <w:pPr>
              <w:spacing w:after="0" w:line="480" w:lineRule="auto"/>
              <w:jc w:val="both"/>
              <w:textAlignment w:val="baseline"/>
              <w:rPr>
                <w:rFonts w:asciiTheme="minorHAnsi" w:hAnsiTheme="minorHAnsi"/>
                <w:color w:val="000000" w:themeColor="text1"/>
              </w:rPr>
            </w:pPr>
            <w:r w:rsidRPr="00CF6019">
              <w:rPr>
                <w:rFonts w:asciiTheme="minorHAnsi" w:hAnsiTheme="minorHAnsi" w:cs="Garamond"/>
                <w:b/>
                <w:color w:val="0070C0"/>
              </w:rPr>
              <w:lastRenderedPageBreak/>
              <w:t>Conclusion:</w:t>
            </w:r>
            <w:r>
              <w:rPr>
                <w:rFonts w:asciiTheme="minorHAnsi" w:hAnsiTheme="minorHAnsi" w:cs="Garamond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Despite 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CHE has been on the rise across most income groups over the three consecutive HBS </w:t>
            </w:r>
            <w:r>
              <w:rPr>
                <w:rFonts w:asciiTheme="minorHAnsi" w:hAnsiTheme="minorHAnsi"/>
                <w:color w:val="000000" w:themeColor="text1"/>
              </w:rPr>
              <w:t xml:space="preserve">period 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the impact on the level of impoverishment and poverty gap has not been </w:t>
            </w:r>
            <w:r>
              <w:rPr>
                <w:rFonts w:asciiTheme="minorHAnsi" w:hAnsiTheme="minorHAnsi"/>
                <w:color w:val="000000" w:themeColor="text1"/>
              </w:rPr>
              <w:t>significant.</w:t>
            </w:r>
            <w:r w:rsidRPr="00CF6019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bookmarkEnd w:id="0"/>
          <w:p w:rsidR="006D0A03" w:rsidRPr="00D80767" w:rsidRDefault="006D0A03" w:rsidP="00C409A4">
            <w:pPr>
              <w:spacing w:after="0" w:line="480" w:lineRule="auto"/>
              <w:jc w:val="both"/>
              <w:textAlignment w:val="baseline"/>
              <w:rPr>
                <w:rFonts w:ascii="Candara" w:hAnsi="Candara" w:cs="Garamond"/>
                <w:b/>
                <w:color w:val="0070C0"/>
              </w:rPr>
            </w:pPr>
            <w:r w:rsidRPr="00CF6019">
              <w:rPr>
                <w:rFonts w:asciiTheme="minorHAnsi" w:hAnsiTheme="minorHAnsi"/>
                <w:b/>
                <w:color w:val="0070C0"/>
              </w:rPr>
              <w:t xml:space="preserve">Keywords: </w:t>
            </w:r>
            <w:r w:rsidRPr="00CF6019">
              <w:rPr>
                <w:rFonts w:asciiTheme="minorHAnsi" w:hAnsiTheme="minorHAnsi"/>
                <w:color w:val="000000" w:themeColor="text1"/>
              </w:rPr>
              <w:t>Catastrophic health expenditure, Impoverishment, Out-of-pocket payments</w:t>
            </w:r>
            <w:r w:rsidRPr="007A7DD9" w:rsidDel="003B78D0">
              <w:rPr>
                <w:rFonts w:ascii="Candara" w:hAnsi="Candara"/>
                <w:b/>
                <w:color w:val="000000" w:themeColor="text1"/>
              </w:rPr>
              <w:t xml:space="preserve"> </w:t>
            </w:r>
          </w:p>
        </w:tc>
      </w:tr>
    </w:tbl>
    <w:p w:rsidR="003800B9" w:rsidRDefault="003800B9">
      <w:bookmarkStart w:id="1" w:name="_GoBack"/>
      <w:bookmarkEnd w:id="1"/>
    </w:p>
    <w:sectPr w:rsidR="0038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6F6" w:rsidRDefault="004326F6" w:rsidP="006D0A03">
      <w:pPr>
        <w:spacing w:after="0" w:line="240" w:lineRule="auto"/>
      </w:pPr>
      <w:r>
        <w:separator/>
      </w:r>
    </w:p>
  </w:endnote>
  <w:endnote w:type="continuationSeparator" w:id="0">
    <w:p w:rsidR="004326F6" w:rsidRDefault="004326F6" w:rsidP="006D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nivers 55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,Italic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6F6" w:rsidRDefault="004326F6" w:rsidP="006D0A03">
      <w:pPr>
        <w:spacing w:after="0" w:line="240" w:lineRule="auto"/>
      </w:pPr>
      <w:r>
        <w:separator/>
      </w:r>
    </w:p>
  </w:footnote>
  <w:footnote w:type="continuationSeparator" w:id="0">
    <w:p w:rsidR="004326F6" w:rsidRDefault="004326F6" w:rsidP="006D0A03">
      <w:pPr>
        <w:spacing w:after="0" w:line="240" w:lineRule="auto"/>
      </w:pPr>
      <w:r>
        <w:continuationSeparator/>
      </w:r>
    </w:p>
  </w:footnote>
  <w:footnote w:id="1">
    <w:p w:rsidR="006D0A03" w:rsidRDefault="006D0A03" w:rsidP="006D0A03">
      <w:pPr>
        <w:spacing w:after="0" w:line="240" w:lineRule="auto"/>
        <w:rPr>
          <w:rFonts w:ascii="Candara" w:eastAsia="Times New Roman" w:hAnsi="Candara" w:cs="Arial"/>
          <w:lang w:val="en-US"/>
        </w:rPr>
      </w:pPr>
      <w:r w:rsidRPr="00A43F93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†</w:t>
      </w:r>
      <w:r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 xml:space="preserve">     </w:t>
      </w:r>
      <w:r w:rsidRPr="00805DE7">
        <w:rPr>
          <w:rFonts w:asciiTheme="minorHAnsi" w:eastAsia="Times New Roman" w:hAnsiTheme="minorHAnsi" w:cs="Arial"/>
          <w:lang w:val="en-US"/>
        </w:rPr>
        <w:t>Equal contributors</w:t>
      </w:r>
      <w:r w:rsidRPr="00A43F93">
        <w:rPr>
          <w:rFonts w:ascii="Candara" w:eastAsia="Times New Roman" w:hAnsi="Candara" w:cs="Arial"/>
          <w:lang w:val="en-US"/>
        </w:rPr>
        <w:t xml:space="preserve"> </w:t>
      </w:r>
    </w:p>
    <w:p w:rsidR="006D0A03" w:rsidRPr="00CA2354" w:rsidRDefault="006D0A03" w:rsidP="006D0A03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sz w:val="27"/>
          <w:szCs w:val="27"/>
          <w:lang w:val="en-US"/>
        </w:rPr>
      </w:pPr>
      <w:r w:rsidRPr="00CA2354">
        <w:rPr>
          <w:rFonts w:asciiTheme="minorHAnsi" w:eastAsia="Times New Roman" w:hAnsiTheme="minorHAnsi" w:cs="Arial"/>
          <w:color w:val="000000" w:themeColor="text1"/>
          <w:vertAlign w:val="superscript"/>
          <w:lang w:val="en-US"/>
        </w:rPr>
        <w:sym w:font="Wingdings" w:char="F02A"/>
      </w:r>
      <w:r w:rsidRPr="00CA2354">
        <w:rPr>
          <w:rFonts w:asciiTheme="minorHAnsi" w:eastAsia="Times New Roman" w:hAnsiTheme="minorHAnsi" w:cs="Arial"/>
          <w:color w:val="000000" w:themeColor="text1"/>
          <w:vertAlign w:val="superscript"/>
          <w:lang w:val="en-US"/>
        </w:rPr>
        <w:t xml:space="preserve"> </w:t>
      </w:r>
      <w:r>
        <w:rPr>
          <w:rFonts w:asciiTheme="minorHAnsi" w:eastAsia="Times New Roman" w:hAnsiTheme="minorHAnsi" w:cs="Arial"/>
          <w:color w:val="000000" w:themeColor="text1"/>
          <w:vertAlign w:val="superscript"/>
          <w:lang w:val="en-US"/>
        </w:rPr>
        <w:t xml:space="preserve">  </w:t>
      </w:r>
      <w:r w:rsidRPr="00CA2354">
        <w:rPr>
          <w:rFonts w:asciiTheme="minorHAnsi" w:eastAsia="Times New Roman" w:hAnsiTheme="minorHAnsi" w:cs="Arial"/>
          <w:color w:val="000000" w:themeColor="text1"/>
          <w:lang w:val="en-US"/>
        </w:rPr>
        <w:t>Correspondence:  nundoochana@who.int</w:t>
      </w:r>
    </w:p>
    <w:p w:rsidR="006D0A03" w:rsidRPr="00A43F93" w:rsidRDefault="006D0A03" w:rsidP="006D0A03">
      <w:pPr>
        <w:pStyle w:val="FootnoteText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03"/>
    <w:rsid w:val="000F1E8E"/>
    <w:rsid w:val="002D10ED"/>
    <w:rsid w:val="003800B9"/>
    <w:rsid w:val="004326F6"/>
    <w:rsid w:val="006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9AD8F-43BF-4F1A-877D-0159439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A0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A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0A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A0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D0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KABANIHA, Grace</dc:creator>
  <cp:keywords/>
  <dc:description/>
  <cp:lastModifiedBy>KABANIHA, Grace</cp:lastModifiedBy>
  <cp:revision>2</cp:revision>
  <dcterms:created xsi:type="dcterms:W3CDTF">2018-12-14T17:15:00Z</dcterms:created>
  <dcterms:modified xsi:type="dcterms:W3CDTF">2018-12-14T17:15:00Z</dcterms:modified>
</cp:coreProperties>
</file>