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90B" w:rsidRPr="00E4190B" w:rsidRDefault="00E4190B" w:rsidP="00E4190B">
      <w:pPr>
        <w:jc w:val="both"/>
        <w:rPr>
          <w:rFonts w:ascii="Times New Roman" w:hAnsi="Times New Roman" w:cs="Times New Roman"/>
          <w:b/>
          <w:iCs/>
          <w:sz w:val="24"/>
          <w:szCs w:val="24"/>
          <w:lang w:val="en-US"/>
        </w:rPr>
      </w:pPr>
      <w:r w:rsidRPr="00E4190B">
        <w:rPr>
          <w:rFonts w:ascii="Times New Roman" w:hAnsi="Times New Roman" w:cs="Times New Roman"/>
          <w:b/>
          <w:iCs/>
          <w:sz w:val="24"/>
          <w:szCs w:val="24"/>
          <w:lang w:val="en-US"/>
        </w:rPr>
        <w:t>Presentation: Case study from Burkina Faso</w:t>
      </w:r>
      <w:bookmarkStart w:id="0" w:name="_GoBack"/>
      <w:bookmarkEnd w:id="0"/>
    </w:p>
    <w:p w:rsidR="00E4190B" w:rsidRPr="00E4190B" w:rsidRDefault="00E4190B" w:rsidP="00E4190B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</w:pPr>
    </w:p>
    <w:p w:rsidR="00E4190B" w:rsidRPr="00E4190B" w:rsidRDefault="00E4190B" w:rsidP="00E4190B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</w:pPr>
      <w:r w:rsidRPr="00E4190B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Introduction:</w:t>
      </w:r>
    </w:p>
    <w:p w:rsidR="00E4190B" w:rsidRPr="00E4190B" w:rsidRDefault="00E4190B" w:rsidP="00E4190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190B">
        <w:rPr>
          <w:rFonts w:ascii="Times New Roman" w:hAnsi="Times New Roman" w:cs="Times New Roman"/>
          <w:sz w:val="24"/>
          <w:szCs w:val="24"/>
          <w:lang w:val="en-US"/>
        </w:rPr>
        <w:t xml:space="preserve">Despite scarce resources, the government of Burkina Faso invests a significant share of its budget in health </w:t>
      </w:r>
      <w:proofErr w:type="gramStart"/>
      <w:r w:rsidRPr="00E4190B">
        <w:rPr>
          <w:rFonts w:ascii="Times New Roman" w:hAnsi="Times New Roman" w:cs="Times New Roman"/>
          <w:sz w:val="24"/>
          <w:szCs w:val="24"/>
          <w:lang w:val="en-US"/>
        </w:rPr>
        <w:t>in order to</w:t>
      </w:r>
      <w:proofErr w:type="gramEnd"/>
      <w:r w:rsidRPr="00E4190B">
        <w:rPr>
          <w:rFonts w:ascii="Times New Roman" w:hAnsi="Times New Roman" w:cs="Times New Roman"/>
          <w:sz w:val="24"/>
          <w:szCs w:val="24"/>
          <w:lang w:val="en-US"/>
        </w:rPr>
        <w:t xml:space="preserve"> finance ambitious policies e.g. the free-health care policy for mothers and children under 5. However, severe resource constraints force the government to move towards enhanced strategic purchasing, </w:t>
      </w:r>
      <w:proofErr w:type="gramStart"/>
      <w:r w:rsidRPr="00E4190B">
        <w:rPr>
          <w:rFonts w:ascii="Times New Roman" w:hAnsi="Times New Roman" w:cs="Times New Roman"/>
          <w:sz w:val="24"/>
          <w:szCs w:val="24"/>
          <w:lang w:val="en-US"/>
        </w:rPr>
        <w:t>in order to</w:t>
      </w:r>
      <w:proofErr w:type="gramEnd"/>
      <w:r w:rsidRPr="00E4190B">
        <w:rPr>
          <w:rFonts w:ascii="Times New Roman" w:hAnsi="Times New Roman" w:cs="Times New Roman"/>
          <w:sz w:val="24"/>
          <w:szCs w:val="24"/>
          <w:lang w:val="en-US"/>
        </w:rPr>
        <w:t xml:space="preserve"> yield the maximum return on its investment in health and to secure steady progress towards UHC. </w:t>
      </w:r>
    </w:p>
    <w:p w:rsidR="00E4190B" w:rsidRPr="00E4190B" w:rsidRDefault="00E4190B" w:rsidP="00E4190B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</w:pPr>
    </w:p>
    <w:p w:rsidR="00E4190B" w:rsidRPr="00E4190B" w:rsidRDefault="00E4190B" w:rsidP="00E4190B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</w:pPr>
      <w:r w:rsidRPr="00E4190B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Objectives:</w:t>
      </w:r>
    </w:p>
    <w:p w:rsidR="00E4190B" w:rsidRPr="00E4190B" w:rsidRDefault="00E4190B" w:rsidP="00E4190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190B">
        <w:rPr>
          <w:rFonts w:ascii="Times New Roman" w:hAnsi="Times New Roman" w:cs="Times New Roman"/>
          <w:sz w:val="24"/>
          <w:szCs w:val="24"/>
          <w:lang w:val="en-US"/>
        </w:rPr>
        <w:t xml:space="preserve">The government opted to initiate the dialogue around Strategic Purchasing through a set of studies. One focus of interest was the current mixed provider payment system, which was assessed in two steps:  </w:t>
      </w:r>
    </w:p>
    <w:p w:rsidR="00E4190B" w:rsidRPr="00E4190B" w:rsidRDefault="00E4190B" w:rsidP="00E4190B">
      <w:pPr>
        <w:pStyle w:val="ListParagraph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190B">
        <w:rPr>
          <w:rFonts w:ascii="Times New Roman" w:hAnsi="Times New Roman" w:cs="Times New Roman"/>
          <w:sz w:val="24"/>
          <w:szCs w:val="24"/>
          <w:lang w:val="en-US"/>
        </w:rPr>
        <w:t xml:space="preserve">A mapping exercise that described the current mixed provider payment system, i.e. the multiple payment methods used by the various purchasers in the </w:t>
      </w:r>
      <w:proofErr w:type="spellStart"/>
      <w:r w:rsidRPr="00E4190B">
        <w:rPr>
          <w:rFonts w:ascii="Times New Roman" w:hAnsi="Times New Roman" w:cs="Times New Roman"/>
          <w:sz w:val="24"/>
          <w:szCs w:val="24"/>
          <w:lang w:val="en-US"/>
        </w:rPr>
        <w:t>Burkinabé</w:t>
      </w:r>
      <w:proofErr w:type="spellEnd"/>
      <w:r w:rsidRPr="00E4190B">
        <w:rPr>
          <w:rFonts w:ascii="Times New Roman" w:hAnsi="Times New Roman" w:cs="Times New Roman"/>
          <w:sz w:val="24"/>
          <w:szCs w:val="24"/>
          <w:lang w:val="en-US"/>
        </w:rPr>
        <w:t xml:space="preserve"> health system;</w:t>
      </w:r>
    </w:p>
    <w:p w:rsidR="00E4190B" w:rsidRPr="00E4190B" w:rsidRDefault="00E4190B" w:rsidP="00E4190B">
      <w:pPr>
        <w:pStyle w:val="ListParagraph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190B">
        <w:rPr>
          <w:rFonts w:ascii="Times New Roman" w:hAnsi="Times New Roman" w:cs="Times New Roman"/>
          <w:sz w:val="24"/>
          <w:szCs w:val="24"/>
          <w:lang w:val="en-US"/>
        </w:rPr>
        <w:t>An analytical exercise that explored the causal chain between payment methods, the generated financial incentives, the behavioral responses of the PHC providers – public and private – and the induced consequences on the health system’s objectives – i.e. equity, efficiency and quality.</w:t>
      </w:r>
    </w:p>
    <w:p w:rsidR="00E4190B" w:rsidRPr="00E4190B" w:rsidRDefault="00E4190B" w:rsidP="00E4190B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</w:pPr>
      <w:r w:rsidRPr="00E4190B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Methodology:</w:t>
      </w:r>
    </w:p>
    <w:p w:rsidR="00E4190B" w:rsidRPr="00E4190B" w:rsidRDefault="00E4190B" w:rsidP="00E4190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190B">
        <w:rPr>
          <w:rFonts w:ascii="Times New Roman" w:hAnsi="Times New Roman" w:cs="Times New Roman"/>
          <w:sz w:val="24"/>
          <w:szCs w:val="24"/>
          <w:lang w:val="en-US"/>
        </w:rPr>
        <w:t xml:space="preserve">Building on the WHO guidance document, the study collated findings from four main data collection methods: a document review, a set of interviews with key stakeholders at national level, an analysis of data extracted from the National Health Information System and previous </w:t>
      </w:r>
      <w:proofErr w:type="gramStart"/>
      <w:r w:rsidRPr="00E4190B">
        <w:rPr>
          <w:rFonts w:ascii="Times New Roman" w:hAnsi="Times New Roman" w:cs="Times New Roman"/>
          <w:sz w:val="24"/>
          <w:szCs w:val="24"/>
          <w:lang w:val="en-US"/>
        </w:rPr>
        <w:t>studies ;</w:t>
      </w:r>
      <w:proofErr w:type="gramEnd"/>
      <w:r w:rsidRPr="00E4190B">
        <w:rPr>
          <w:rFonts w:ascii="Times New Roman" w:hAnsi="Times New Roman" w:cs="Times New Roman"/>
          <w:sz w:val="24"/>
          <w:szCs w:val="24"/>
          <w:lang w:val="en-US"/>
        </w:rPr>
        <w:t xml:space="preserve"> two case studies which allowed to zoom in on the MPPS and its effects in two districts.</w:t>
      </w:r>
    </w:p>
    <w:p w:rsidR="00E4190B" w:rsidRPr="00E4190B" w:rsidRDefault="00E4190B" w:rsidP="00E4190B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</w:pPr>
    </w:p>
    <w:p w:rsidR="00E4190B" w:rsidRPr="00E4190B" w:rsidRDefault="00E4190B" w:rsidP="00E4190B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</w:pPr>
      <w:r w:rsidRPr="00E4190B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Results:</w:t>
      </w:r>
    </w:p>
    <w:p w:rsidR="00E4190B" w:rsidRPr="00E4190B" w:rsidRDefault="00E4190B" w:rsidP="00E4190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190B">
        <w:rPr>
          <w:rFonts w:ascii="Times New Roman" w:hAnsi="Times New Roman" w:cs="Times New Roman"/>
          <w:sz w:val="24"/>
          <w:szCs w:val="24"/>
          <w:lang w:val="en-US"/>
        </w:rPr>
        <w:t xml:space="preserve">The study shed light on a highly complex mix of payment methods in place in Burkina Faso. </w:t>
      </w:r>
    </w:p>
    <w:p w:rsidR="00E4190B" w:rsidRPr="00E4190B" w:rsidRDefault="00E4190B" w:rsidP="00E4190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190B">
        <w:rPr>
          <w:rFonts w:ascii="Times New Roman" w:hAnsi="Times New Roman" w:cs="Times New Roman"/>
          <w:sz w:val="24"/>
          <w:szCs w:val="24"/>
          <w:lang w:val="en-US"/>
        </w:rPr>
        <w:t xml:space="preserve">It made surfaced a strong disconnect between the intended incentives and those </w:t>
      </w:r>
      <w:proofErr w:type="gramStart"/>
      <w:r w:rsidRPr="00E4190B">
        <w:rPr>
          <w:rFonts w:ascii="Times New Roman" w:hAnsi="Times New Roman" w:cs="Times New Roman"/>
          <w:sz w:val="24"/>
          <w:szCs w:val="24"/>
          <w:lang w:val="en-US"/>
        </w:rPr>
        <w:t>created in reality</w:t>
      </w:r>
      <w:proofErr w:type="gramEnd"/>
      <w:r w:rsidRPr="00E4190B">
        <w:rPr>
          <w:rFonts w:ascii="Times New Roman" w:hAnsi="Times New Roman" w:cs="Times New Roman"/>
          <w:sz w:val="24"/>
          <w:szCs w:val="24"/>
          <w:lang w:val="en-US"/>
        </w:rPr>
        <w:t xml:space="preserve">. Key factors that explained such an implementation gap are: </w:t>
      </w:r>
    </w:p>
    <w:p w:rsidR="00E4190B" w:rsidRPr="00E4190B" w:rsidRDefault="00E4190B" w:rsidP="00E4190B">
      <w:pPr>
        <w:pStyle w:val="ListParagraph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190B">
        <w:rPr>
          <w:rFonts w:ascii="Times New Roman" w:hAnsi="Times New Roman" w:cs="Times New Roman"/>
          <w:sz w:val="24"/>
          <w:szCs w:val="24"/>
          <w:lang w:val="en-US"/>
        </w:rPr>
        <w:t>A set of enablers for /preconditions to positive behavioral response which were not met at the time of the study – e.g. provider’s lack of autonomy, but also weak provider’s procurement;</w:t>
      </w:r>
    </w:p>
    <w:p w:rsidR="00E4190B" w:rsidRPr="00E4190B" w:rsidRDefault="00E4190B" w:rsidP="00E4190B">
      <w:pPr>
        <w:pStyle w:val="ListParagraph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190B">
        <w:rPr>
          <w:rFonts w:ascii="Times New Roman" w:hAnsi="Times New Roman" w:cs="Times New Roman"/>
          <w:sz w:val="24"/>
          <w:szCs w:val="24"/>
          <w:lang w:val="en-US"/>
        </w:rPr>
        <w:t>A set of payment features which are – according to the actors – determinant in influencing the behavioral response: predictability and regularity of payment. The rather erratic implementation process of payment reforms often killed the intended incentives in the egg;</w:t>
      </w:r>
    </w:p>
    <w:p w:rsidR="00E4190B" w:rsidRPr="00E4190B" w:rsidRDefault="00E4190B" w:rsidP="00E4190B">
      <w:pPr>
        <w:pStyle w:val="ListParagraph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190B">
        <w:rPr>
          <w:rFonts w:ascii="Times New Roman" w:hAnsi="Times New Roman" w:cs="Times New Roman"/>
          <w:sz w:val="24"/>
          <w:szCs w:val="24"/>
          <w:lang w:val="en-US"/>
        </w:rPr>
        <w:t xml:space="preserve">A lack of governance structures and modalities for the MPPS, which led to ill-coordinated payment methods, sending rather contradictory signals to providers. </w:t>
      </w:r>
    </w:p>
    <w:p w:rsidR="00E4190B" w:rsidRPr="00E4190B" w:rsidRDefault="00E4190B" w:rsidP="00E4190B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</w:pPr>
      <w:r w:rsidRPr="00E4190B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 xml:space="preserve">Conclusion: </w:t>
      </w:r>
    </w:p>
    <w:p w:rsidR="00E4190B" w:rsidRPr="00E4190B" w:rsidRDefault="00E4190B" w:rsidP="00E4190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190B">
        <w:rPr>
          <w:rFonts w:ascii="Times New Roman" w:hAnsi="Times New Roman" w:cs="Times New Roman"/>
          <w:sz w:val="24"/>
          <w:szCs w:val="24"/>
          <w:lang w:val="en-US"/>
        </w:rPr>
        <w:t xml:space="preserve">Governance issues emerged as determinant </w:t>
      </w:r>
      <w:proofErr w:type="gramStart"/>
      <w:r w:rsidRPr="00E4190B">
        <w:rPr>
          <w:rFonts w:ascii="Times New Roman" w:hAnsi="Times New Roman" w:cs="Times New Roman"/>
          <w:sz w:val="24"/>
          <w:szCs w:val="24"/>
          <w:lang w:val="en-US"/>
        </w:rPr>
        <w:t>in order to</w:t>
      </w:r>
      <w:proofErr w:type="gramEnd"/>
      <w:r w:rsidRPr="00E4190B">
        <w:rPr>
          <w:rFonts w:ascii="Times New Roman" w:hAnsi="Times New Roman" w:cs="Times New Roman"/>
          <w:sz w:val="24"/>
          <w:szCs w:val="24"/>
          <w:lang w:val="en-US"/>
        </w:rPr>
        <w:t xml:space="preserve"> harness the potential of the current payment methods in place. They should be tackled in the first place, before introducing any “new” payment methods.</w:t>
      </w:r>
    </w:p>
    <w:p w:rsidR="00590E8A" w:rsidRPr="00E4190B" w:rsidRDefault="00E4190B">
      <w:pPr>
        <w:rPr>
          <w:rFonts w:ascii="Times New Roman" w:hAnsi="Times New Roman" w:cs="Times New Roman"/>
        </w:rPr>
      </w:pPr>
    </w:p>
    <w:sectPr w:rsidR="00590E8A" w:rsidRPr="00E419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33F70"/>
    <w:multiLevelType w:val="hybridMultilevel"/>
    <w:tmpl w:val="C2A23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A26D6F"/>
    <w:multiLevelType w:val="hybridMultilevel"/>
    <w:tmpl w:val="30CE9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90B"/>
    <w:rsid w:val="00030051"/>
    <w:rsid w:val="00050FB5"/>
    <w:rsid w:val="000522A9"/>
    <w:rsid w:val="00052967"/>
    <w:rsid w:val="00077E49"/>
    <w:rsid w:val="000A3360"/>
    <w:rsid w:val="0011082C"/>
    <w:rsid w:val="001B646F"/>
    <w:rsid w:val="001E6080"/>
    <w:rsid w:val="00271EB1"/>
    <w:rsid w:val="002B33CC"/>
    <w:rsid w:val="002C0700"/>
    <w:rsid w:val="00391542"/>
    <w:rsid w:val="003B2A8A"/>
    <w:rsid w:val="003B64A3"/>
    <w:rsid w:val="003D3412"/>
    <w:rsid w:val="003E1C4E"/>
    <w:rsid w:val="004112EA"/>
    <w:rsid w:val="0042270F"/>
    <w:rsid w:val="00441816"/>
    <w:rsid w:val="004473D7"/>
    <w:rsid w:val="00462024"/>
    <w:rsid w:val="00471753"/>
    <w:rsid w:val="00492FFE"/>
    <w:rsid w:val="004A5A40"/>
    <w:rsid w:val="004A5AAE"/>
    <w:rsid w:val="00505A4D"/>
    <w:rsid w:val="00514D70"/>
    <w:rsid w:val="00560BDD"/>
    <w:rsid w:val="0057298D"/>
    <w:rsid w:val="00592385"/>
    <w:rsid w:val="005A436E"/>
    <w:rsid w:val="005D174E"/>
    <w:rsid w:val="005E01B0"/>
    <w:rsid w:val="00622B9E"/>
    <w:rsid w:val="00643FB9"/>
    <w:rsid w:val="00650591"/>
    <w:rsid w:val="0065288A"/>
    <w:rsid w:val="006B1BB3"/>
    <w:rsid w:val="006C2854"/>
    <w:rsid w:val="006D5AC3"/>
    <w:rsid w:val="006F520E"/>
    <w:rsid w:val="00750AAD"/>
    <w:rsid w:val="0075126B"/>
    <w:rsid w:val="00761240"/>
    <w:rsid w:val="00795E0A"/>
    <w:rsid w:val="007C3FA0"/>
    <w:rsid w:val="007E7D35"/>
    <w:rsid w:val="008005A6"/>
    <w:rsid w:val="00834113"/>
    <w:rsid w:val="00837082"/>
    <w:rsid w:val="00853169"/>
    <w:rsid w:val="00897CCE"/>
    <w:rsid w:val="008E00CC"/>
    <w:rsid w:val="008E1A30"/>
    <w:rsid w:val="008E5AF8"/>
    <w:rsid w:val="00912655"/>
    <w:rsid w:val="00933B1D"/>
    <w:rsid w:val="0095541B"/>
    <w:rsid w:val="009A1AEE"/>
    <w:rsid w:val="009B3C15"/>
    <w:rsid w:val="00A40C83"/>
    <w:rsid w:val="00A556F2"/>
    <w:rsid w:val="00A6252D"/>
    <w:rsid w:val="00A85E08"/>
    <w:rsid w:val="00AA2D77"/>
    <w:rsid w:val="00AD6465"/>
    <w:rsid w:val="00BD0521"/>
    <w:rsid w:val="00BF596F"/>
    <w:rsid w:val="00C47B85"/>
    <w:rsid w:val="00C51780"/>
    <w:rsid w:val="00C560E6"/>
    <w:rsid w:val="00C573D7"/>
    <w:rsid w:val="00C57A63"/>
    <w:rsid w:val="00C67F2D"/>
    <w:rsid w:val="00CA2438"/>
    <w:rsid w:val="00CA3897"/>
    <w:rsid w:val="00CC7AA4"/>
    <w:rsid w:val="00D4521E"/>
    <w:rsid w:val="00E124C9"/>
    <w:rsid w:val="00E22582"/>
    <w:rsid w:val="00E358E0"/>
    <w:rsid w:val="00E4190B"/>
    <w:rsid w:val="00EA3C92"/>
    <w:rsid w:val="00EA6A0F"/>
    <w:rsid w:val="00EE244D"/>
    <w:rsid w:val="00F52A3E"/>
    <w:rsid w:val="00F821CA"/>
    <w:rsid w:val="00F8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F6D7E"/>
  <w15:chartTrackingRefBased/>
  <w15:docId w15:val="{E5879672-D3B6-4AEA-8E7B-1F6CA453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  <w:ind w:left="357" w:hanging="35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190B"/>
    <w:pPr>
      <w:spacing w:after="0"/>
      <w:ind w:left="0" w:firstLine="0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Main numbered paragraph Char,Bullets Char,References Char,Liste 1 Char,Numbered List Paragraph Char,ReferencesCxSpLast Char,Numbered Paragraph Char,123 List Paragraph Char,List Paragraph (numbered (a)) Char,List Paragraph nowy Char"/>
    <w:basedOn w:val="DefaultParagraphFont"/>
    <w:link w:val="ListParagraph"/>
    <w:uiPriority w:val="34"/>
    <w:locked/>
    <w:rsid w:val="00E4190B"/>
  </w:style>
  <w:style w:type="paragraph" w:styleId="ListParagraph">
    <w:name w:val="List Paragraph"/>
    <w:aliases w:val="Main numbered paragraph,Bullets,References,Liste 1,Numbered List Paragraph,ReferencesCxSpLast,Numbered Paragraph,123 List Paragraph,List Paragraph (numbered (a)),List Paragraph nowy,List_Paragraph,Multilevel para_II,List Paragraph1,Bullet"/>
    <w:basedOn w:val="Normal"/>
    <w:link w:val="ListParagraphChar"/>
    <w:uiPriority w:val="34"/>
    <w:qFormat/>
    <w:rsid w:val="00E4190B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0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MATHAUER, Inke</dc:creator>
  <cp:keywords/>
  <dc:description/>
  <cp:lastModifiedBy>MATHAUER, Inke</cp:lastModifiedBy>
  <cp:revision>1</cp:revision>
  <dcterms:created xsi:type="dcterms:W3CDTF">2018-11-30T13:50:00Z</dcterms:created>
  <dcterms:modified xsi:type="dcterms:W3CDTF">2018-11-30T13:52:00Z</dcterms:modified>
</cp:coreProperties>
</file>