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39" w:rsidRDefault="005F0239" w:rsidP="005F02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Rifkatu</w:t>
      </w:r>
      <w:proofErr w:type="spellEnd"/>
      <w:r>
        <w:rPr>
          <w:rFonts w:ascii="Times New Roman" w:hAnsi="Times New Roman"/>
          <w:sz w:val="24"/>
          <w:szCs w:val="24"/>
        </w:rPr>
        <w:t xml:space="preserve"> Nghargbu</w:t>
      </w:r>
      <w:r w:rsidRPr="0051573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Olanrewaju</w:t>
      </w:r>
      <w:proofErr w:type="spellEnd"/>
      <w:r>
        <w:rPr>
          <w:rFonts w:ascii="Times New Roman" w:hAnsi="Times New Roman"/>
          <w:sz w:val="24"/>
          <w:szCs w:val="24"/>
        </w:rPr>
        <w:t xml:space="preserve"> Olaniyan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Akanni</w:t>
      </w:r>
      <w:proofErr w:type="spellEnd"/>
      <w:r>
        <w:rPr>
          <w:rFonts w:ascii="Times New Roman" w:hAnsi="Times New Roman"/>
          <w:sz w:val="24"/>
          <w:szCs w:val="24"/>
        </w:rPr>
        <w:t xml:space="preserve"> O.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Lawanson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5F0239" w:rsidRDefault="005F0239" w:rsidP="005F02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Department of Economics, University of Ibadan, Ibadan, Nigeria.</w:t>
      </w:r>
      <w:proofErr w:type="gramEnd"/>
    </w:p>
    <w:p w:rsidR="005F0239" w:rsidRDefault="005F0239" w:rsidP="005F0239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>Email: rifnghargbu@gmail.com</w:t>
      </w:r>
      <w:r w:rsidRPr="0051573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t>lanreolaniyan@yahoo.co.uk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t xml:space="preserve">  aolawanson@yahoo.com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proofErr w:type="gramEnd"/>
    </w:p>
    <w:p w:rsidR="005F0239" w:rsidRDefault="005F0239" w:rsidP="005F0239">
      <w:pPr>
        <w:spacing w:line="240" w:lineRule="auto"/>
        <w:ind w:firstLine="720"/>
        <w:jc w:val="center"/>
        <w:rPr>
          <w:rFonts w:ascii="Times New Roman" w:hAnsi="Times New Roman"/>
        </w:rPr>
      </w:pPr>
      <w:r w:rsidRPr="005C2F68">
        <w:rPr>
          <w:rFonts w:ascii="Times New Roman" w:hAnsi="Times New Roman"/>
        </w:rPr>
        <w:t>Corresponding author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Rifkatu</w:t>
      </w:r>
      <w:proofErr w:type="spellEnd"/>
      <w:r>
        <w:rPr>
          <w:rFonts w:ascii="Times New Roman" w:hAnsi="Times New Roman"/>
          <w:sz w:val="24"/>
          <w:szCs w:val="24"/>
        </w:rPr>
        <w:t xml:space="preserve"> Nghargbu</w:t>
      </w:r>
      <w:r w:rsidRPr="00515731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5F0239" w:rsidRDefault="005F0239" w:rsidP="005F0239">
      <w:pPr>
        <w:spacing w:line="24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Department of Economics, </w:t>
      </w:r>
      <w:proofErr w:type="spellStart"/>
      <w:r>
        <w:rPr>
          <w:rFonts w:ascii="Times New Roman" w:hAnsi="Times New Roman"/>
        </w:rPr>
        <w:t>Usmanu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Danfodiyo</w:t>
      </w:r>
      <w:proofErr w:type="spellEnd"/>
      <w:r>
        <w:rPr>
          <w:rFonts w:ascii="Times New Roman" w:hAnsi="Times New Roman"/>
        </w:rPr>
        <w:t xml:space="preserve"> University </w:t>
      </w:r>
      <w:proofErr w:type="spellStart"/>
      <w:r>
        <w:rPr>
          <w:rFonts w:ascii="Times New Roman" w:hAnsi="Times New Roman"/>
        </w:rPr>
        <w:t>Sokoto</w:t>
      </w:r>
      <w:proofErr w:type="spellEnd"/>
      <w:proofErr w:type="gramStart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Sokoto</w:t>
      </w:r>
      <w:proofErr w:type="spellEnd"/>
      <w:proofErr w:type="gramEnd"/>
      <w:r>
        <w:rPr>
          <w:rFonts w:ascii="Times New Roman" w:hAnsi="Times New Roman"/>
        </w:rPr>
        <w:t>, Nigeria.</w:t>
      </w:r>
    </w:p>
    <w:p w:rsidR="005F0239" w:rsidRPr="005C2F68" w:rsidRDefault="005F0239" w:rsidP="005F0239">
      <w:pPr>
        <w:spacing w:line="24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Email: rifnghargbu@gmail.com</w:t>
      </w:r>
      <w:r w:rsidRPr="00515731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41454F" w:rsidRDefault="0041454F" w:rsidP="004145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1454F" w:rsidRPr="009C7F20" w:rsidRDefault="0041454F" w:rsidP="004145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F20">
        <w:rPr>
          <w:rFonts w:ascii="Times New Roman" w:hAnsi="Times New Roman"/>
          <w:b/>
          <w:sz w:val="28"/>
          <w:szCs w:val="28"/>
        </w:rPr>
        <w:t>Abstract</w:t>
      </w:r>
    </w:p>
    <w:p w:rsidR="0041454F" w:rsidRPr="00941302" w:rsidRDefault="0041454F" w:rsidP="004145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3D89">
        <w:rPr>
          <w:rFonts w:ascii="Times New Roman" w:hAnsi="Times New Roman"/>
          <w:sz w:val="24"/>
          <w:szCs w:val="24"/>
        </w:rPr>
        <w:t>The high maternal and child mortality rates of 500 per 100,000 and 128 per 1,000 live births are major research and health policy concerns of</w:t>
      </w:r>
      <w:r>
        <w:rPr>
          <w:rFonts w:ascii="Times New Roman" w:hAnsi="Times New Roman"/>
          <w:sz w:val="24"/>
          <w:szCs w:val="24"/>
        </w:rPr>
        <w:t xml:space="preserve">ten caused by inequity in </w:t>
      </w:r>
      <w:proofErr w:type="spellStart"/>
      <w:r>
        <w:rPr>
          <w:rFonts w:ascii="Times New Roman" w:hAnsi="Times New Roman"/>
          <w:sz w:val="24"/>
          <w:szCs w:val="24"/>
        </w:rPr>
        <w:t>utilis</w:t>
      </w:r>
      <w:r w:rsidRPr="00883D89">
        <w:rPr>
          <w:rFonts w:ascii="Times New Roman" w:hAnsi="Times New Roman"/>
          <w:sz w:val="24"/>
          <w:szCs w:val="24"/>
        </w:rPr>
        <w:t>ation</w:t>
      </w:r>
      <w:proofErr w:type="spellEnd"/>
      <w:r w:rsidRPr="00883D89">
        <w:rPr>
          <w:rFonts w:ascii="Times New Roman" w:hAnsi="Times New Roman"/>
          <w:sz w:val="24"/>
          <w:szCs w:val="24"/>
        </w:rPr>
        <w:t xml:space="preserve"> of basic maternal and child health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D89">
        <w:rPr>
          <w:rFonts w:ascii="Times New Roman" w:hAnsi="Times New Roman"/>
          <w:sz w:val="24"/>
          <w:szCs w:val="24"/>
        </w:rPr>
        <w:t>care in Nigeria. Although existing literature provided estimates of determinants of maternal and child health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D89">
        <w:rPr>
          <w:rFonts w:ascii="Times New Roman" w:hAnsi="Times New Roman"/>
          <w:sz w:val="24"/>
          <w:szCs w:val="24"/>
        </w:rPr>
        <w:t xml:space="preserve">care </w:t>
      </w:r>
      <w:proofErr w:type="spellStart"/>
      <w:r>
        <w:rPr>
          <w:rFonts w:ascii="Times New Roman" w:hAnsi="Times New Roman"/>
          <w:sz w:val="24"/>
          <w:szCs w:val="24"/>
        </w:rPr>
        <w:t>utilis</w:t>
      </w:r>
      <w:r w:rsidRPr="00883D89">
        <w:rPr>
          <w:rFonts w:ascii="Times New Roman" w:hAnsi="Times New Roman"/>
          <w:sz w:val="24"/>
          <w:szCs w:val="24"/>
        </w:rPr>
        <w:t>ation</w:t>
      </w:r>
      <w:proofErr w:type="spellEnd"/>
      <w:r w:rsidRPr="00883D89">
        <w:rPr>
          <w:rFonts w:ascii="Times New Roman" w:hAnsi="Times New Roman"/>
          <w:sz w:val="24"/>
          <w:szCs w:val="24"/>
        </w:rPr>
        <w:t>, inequity in matern</w:t>
      </w:r>
      <w:r>
        <w:rPr>
          <w:rFonts w:ascii="Times New Roman" w:hAnsi="Times New Roman"/>
          <w:sz w:val="24"/>
          <w:szCs w:val="24"/>
        </w:rPr>
        <w:t xml:space="preserve">al </w:t>
      </w:r>
      <w:r w:rsidRPr="00883D89">
        <w:rPr>
          <w:rFonts w:ascii="Times New Roman" w:hAnsi="Times New Roman"/>
          <w:sz w:val="24"/>
          <w:szCs w:val="24"/>
        </w:rPr>
        <w:t>health</w:t>
      </w:r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utilis</w:t>
      </w:r>
      <w:r w:rsidRPr="00883D89">
        <w:rPr>
          <w:rFonts w:ascii="Times New Roman" w:hAnsi="Times New Roman"/>
          <w:sz w:val="24"/>
          <w:szCs w:val="24"/>
        </w:rPr>
        <w:t>ation</w:t>
      </w:r>
      <w:proofErr w:type="spellEnd"/>
      <w:r w:rsidRPr="00883D89">
        <w:rPr>
          <w:rFonts w:ascii="Times New Roman" w:hAnsi="Times New Roman"/>
          <w:sz w:val="24"/>
          <w:szCs w:val="24"/>
        </w:rPr>
        <w:t xml:space="preserve"> has not been given adequate attention. This study therefore examined horizontal inequity in</w:t>
      </w:r>
      <w:r>
        <w:rPr>
          <w:rFonts w:ascii="Times New Roman" w:hAnsi="Times New Roman"/>
          <w:sz w:val="24"/>
          <w:szCs w:val="24"/>
        </w:rPr>
        <w:t xml:space="preserve"> maternal health care </w:t>
      </w:r>
      <w:proofErr w:type="spellStart"/>
      <w:r>
        <w:rPr>
          <w:rFonts w:ascii="Times New Roman" w:hAnsi="Times New Roman"/>
          <w:sz w:val="24"/>
          <w:szCs w:val="24"/>
        </w:rPr>
        <w:t>utilis</w:t>
      </w:r>
      <w:r w:rsidRPr="00883D89">
        <w:rPr>
          <w:rFonts w:ascii="Times New Roman" w:hAnsi="Times New Roman"/>
          <w:sz w:val="24"/>
          <w:szCs w:val="24"/>
        </w:rPr>
        <w:t>ation</w:t>
      </w:r>
      <w:proofErr w:type="spellEnd"/>
      <w:r w:rsidRPr="00883D89">
        <w:rPr>
          <w:rFonts w:ascii="Times New Roman" w:hAnsi="Times New Roman"/>
          <w:sz w:val="24"/>
          <w:szCs w:val="24"/>
        </w:rPr>
        <w:t xml:space="preserve"> in Nigeria.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Standardis</w:t>
      </w:r>
      <w:r w:rsidRPr="00941302">
        <w:rPr>
          <w:rFonts w:ascii="Times New Roman" w:hAnsi="Times New Roman"/>
          <w:sz w:val="24"/>
          <w:szCs w:val="24"/>
        </w:rPr>
        <w:t>ed</w:t>
      </w:r>
      <w:proofErr w:type="spellEnd"/>
      <w:r w:rsidRPr="00941302">
        <w:rPr>
          <w:rFonts w:ascii="Times New Roman" w:hAnsi="Times New Roman"/>
          <w:sz w:val="24"/>
          <w:szCs w:val="24"/>
        </w:rPr>
        <w:t xml:space="preserve"> concentration index for need and non-need variables and concentration curves were used to construct profile of horizontal inequity for maternal </w:t>
      </w:r>
      <w:r>
        <w:rPr>
          <w:rFonts w:ascii="Times New Roman" w:hAnsi="Times New Roman"/>
          <w:sz w:val="24"/>
          <w:szCs w:val="24"/>
        </w:rPr>
        <w:t xml:space="preserve">health care </w:t>
      </w:r>
      <w:proofErr w:type="spellStart"/>
      <w:r>
        <w:rPr>
          <w:rFonts w:ascii="Times New Roman" w:hAnsi="Times New Roman"/>
          <w:sz w:val="24"/>
          <w:szCs w:val="24"/>
        </w:rPr>
        <w:t>utilis</w:t>
      </w:r>
      <w:r w:rsidRPr="00941302">
        <w:rPr>
          <w:rFonts w:ascii="Times New Roman" w:hAnsi="Times New Roman"/>
          <w:sz w:val="24"/>
          <w:szCs w:val="24"/>
        </w:rPr>
        <w:t>ation</w:t>
      </w:r>
      <w:proofErr w:type="spellEnd"/>
      <w:r w:rsidRPr="00941302">
        <w:rPr>
          <w:rFonts w:ascii="Times New Roman" w:hAnsi="Times New Roman"/>
          <w:sz w:val="24"/>
          <w:szCs w:val="24"/>
        </w:rPr>
        <w:t xml:space="preserve">. Maternal healthcare was measured by antenatal attendance and skilled delivery. Data was derived from four sets of Nigeria Demographic </w:t>
      </w:r>
      <w:r>
        <w:rPr>
          <w:rFonts w:ascii="Times New Roman" w:hAnsi="Times New Roman"/>
          <w:sz w:val="24"/>
          <w:szCs w:val="24"/>
        </w:rPr>
        <w:t xml:space="preserve">and Health Survey (NDHS) which include </w:t>
      </w:r>
      <w:r w:rsidRPr="00941302">
        <w:rPr>
          <w:rFonts w:ascii="Times New Roman" w:hAnsi="Times New Roman"/>
          <w:sz w:val="24"/>
          <w:szCs w:val="24"/>
        </w:rPr>
        <w:t xml:space="preserve">1999, 2003, 2008 and 2013, respectively. </w:t>
      </w:r>
      <w:r w:rsidRPr="00883D89">
        <w:rPr>
          <w:rFonts w:ascii="Times New Roman" w:hAnsi="Times New Roman"/>
          <w:sz w:val="24"/>
          <w:szCs w:val="24"/>
        </w:rPr>
        <w:t>Concentration curve for antenatal and skilled delivery revealed a positive horizontal inequity index of 0.26 to 0.37 and 0.32 to 0.48 from 1999 to 2013; indicating pro-rich ine</w:t>
      </w:r>
      <w:r>
        <w:rPr>
          <w:rFonts w:ascii="Times New Roman" w:hAnsi="Times New Roman"/>
          <w:sz w:val="24"/>
          <w:szCs w:val="24"/>
        </w:rPr>
        <w:t xml:space="preserve">quity in </w:t>
      </w:r>
      <w:proofErr w:type="spellStart"/>
      <w:r>
        <w:rPr>
          <w:rFonts w:ascii="Times New Roman" w:hAnsi="Times New Roman"/>
          <w:sz w:val="24"/>
          <w:szCs w:val="24"/>
        </w:rPr>
        <w:t>utilis</w:t>
      </w:r>
      <w:r w:rsidRPr="00883D89">
        <w:rPr>
          <w:rFonts w:ascii="Times New Roman" w:hAnsi="Times New Roman"/>
          <w:sz w:val="24"/>
          <w:szCs w:val="24"/>
        </w:rPr>
        <w:t>ation</w:t>
      </w:r>
      <w:proofErr w:type="spellEnd"/>
      <w:r>
        <w:rPr>
          <w:rFonts w:ascii="Times New Roman" w:hAnsi="Times New Roman"/>
          <w:sz w:val="24"/>
          <w:szCs w:val="24"/>
        </w:rPr>
        <w:t xml:space="preserve"> with</w:t>
      </w:r>
      <w:r w:rsidRPr="00883D8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standardised</w:t>
      </w:r>
      <w:proofErr w:type="spellEnd"/>
      <w:r>
        <w:rPr>
          <w:rFonts w:ascii="Times New Roman" w:hAnsi="Times New Roman"/>
          <w:sz w:val="24"/>
          <w:szCs w:val="24"/>
        </w:rPr>
        <w:t xml:space="preserve"> concentration index of </w:t>
      </w:r>
      <w:r w:rsidRPr="00883D89">
        <w:rPr>
          <w:rFonts w:ascii="Times New Roman" w:hAnsi="Times New Roman"/>
          <w:sz w:val="24"/>
          <w:szCs w:val="24"/>
        </w:rPr>
        <w:t>need variable subtotal of 0.001 to 0.002 and -0.03 to -0.02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883D89">
        <w:rPr>
          <w:rFonts w:ascii="Times New Roman" w:hAnsi="Times New Roman"/>
          <w:sz w:val="24"/>
          <w:szCs w:val="24"/>
        </w:rPr>
        <w:t xml:space="preserve"> non-need variable subtotal of 0.26 to 0.37 and 0.189 to 0.30. </w:t>
      </w:r>
      <w:r w:rsidRPr="00941302">
        <w:rPr>
          <w:rFonts w:ascii="Times New Roman" w:hAnsi="Times New Roman"/>
          <w:sz w:val="24"/>
          <w:szCs w:val="24"/>
        </w:rPr>
        <w:t>Wealth and education were the major drivers of inequity in maternal health</w:t>
      </w:r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utilis</w:t>
      </w:r>
      <w:r w:rsidRPr="00941302">
        <w:rPr>
          <w:rFonts w:ascii="Times New Roman" w:hAnsi="Times New Roman"/>
          <w:sz w:val="24"/>
          <w:szCs w:val="24"/>
        </w:rPr>
        <w:t>ation</w:t>
      </w:r>
      <w:proofErr w:type="spellEnd"/>
      <w:r w:rsidRPr="00941302">
        <w:rPr>
          <w:rFonts w:ascii="Times New Roman" w:hAnsi="Times New Roman"/>
          <w:sz w:val="24"/>
          <w:szCs w:val="24"/>
        </w:rPr>
        <w:t xml:space="preserve"> in Nigeria as such empowerment </w:t>
      </w:r>
      <w:proofErr w:type="spellStart"/>
      <w:r w:rsidRPr="00941302">
        <w:rPr>
          <w:rFonts w:ascii="Times New Roman" w:hAnsi="Times New Roman"/>
          <w:sz w:val="24"/>
          <w:szCs w:val="24"/>
        </w:rPr>
        <w:t>programmes</w:t>
      </w:r>
      <w:proofErr w:type="spellEnd"/>
      <w:r w:rsidRPr="00941302">
        <w:rPr>
          <w:rFonts w:ascii="Times New Roman" w:hAnsi="Times New Roman"/>
          <w:sz w:val="24"/>
          <w:szCs w:val="24"/>
        </w:rPr>
        <w:t xml:space="preserve"> and improvement in education will enhance maternal health</w:t>
      </w:r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utilis</w:t>
      </w:r>
      <w:r w:rsidRPr="00941302">
        <w:rPr>
          <w:rFonts w:ascii="Times New Roman" w:hAnsi="Times New Roman"/>
          <w:sz w:val="24"/>
          <w:szCs w:val="24"/>
        </w:rPr>
        <w:t>ation</w:t>
      </w:r>
      <w:proofErr w:type="spellEnd"/>
      <w:r w:rsidRPr="00941302">
        <w:rPr>
          <w:rFonts w:ascii="Times New Roman" w:hAnsi="Times New Roman"/>
          <w:sz w:val="24"/>
          <w:szCs w:val="24"/>
        </w:rPr>
        <w:t xml:space="preserve"> and reduce mortality.</w:t>
      </w:r>
    </w:p>
    <w:p w:rsidR="0041454F" w:rsidRPr="00D8768C" w:rsidRDefault="0041454F" w:rsidP="0041454F">
      <w:pPr>
        <w:jc w:val="both"/>
        <w:rPr>
          <w:rFonts w:ascii="Times New Roman" w:hAnsi="Times New Roman"/>
          <w:sz w:val="24"/>
          <w:szCs w:val="24"/>
        </w:rPr>
      </w:pPr>
      <w:r w:rsidRPr="00D8768C">
        <w:rPr>
          <w:rFonts w:ascii="Times New Roman" w:hAnsi="Times New Roman"/>
          <w:sz w:val="24"/>
          <w:szCs w:val="24"/>
        </w:rPr>
        <w:t xml:space="preserve">Keywords: Antenatal care, </w:t>
      </w:r>
      <w:proofErr w:type="gramStart"/>
      <w:r w:rsidRPr="00D8768C">
        <w:rPr>
          <w:rFonts w:ascii="Times New Roman" w:hAnsi="Times New Roman"/>
          <w:sz w:val="24"/>
          <w:szCs w:val="24"/>
        </w:rPr>
        <w:t>Skilled</w:t>
      </w:r>
      <w:proofErr w:type="gramEnd"/>
      <w:r w:rsidRPr="00D8768C">
        <w:rPr>
          <w:rFonts w:ascii="Times New Roman" w:hAnsi="Times New Roman"/>
          <w:sz w:val="24"/>
          <w:szCs w:val="24"/>
        </w:rPr>
        <w:t xml:space="preserve"> deliv</w:t>
      </w:r>
      <w:r>
        <w:rPr>
          <w:rFonts w:ascii="Times New Roman" w:hAnsi="Times New Roman"/>
          <w:sz w:val="24"/>
          <w:szCs w:val="24"/>
        </w:rPr>
        <w:t xml:space="preserve">ery, Horizontal inequity, </w:t>
      </w:r>
      <w:proofErr w:type="spellStart"/>
      <w:r>
        <w:rPr>
          <w:rFonts w:ascii="Times New Roman" w:hAnsi="Times New Roman"/>
          <w:sz w:val="24"/>
          <w:szCs w:val="24"/>
        </w:rPr>
        <w:t>Utilis</w:t>
      </w:r>
      <w:r w:rsidRPr="00D8768C">
        <w:rPr>
          <w:rFonts w:ascii="Times New Roman" w:hAnsi="Times New Roman"/>
          <w:sz w:val="24"/>
          <w:szCs w:val="24"/>
        </w:rPr>
        <w:t>ation</w:t>
      </w:r>
      <w:proofErr w:type="spellEnd"/>
      <w:r>
        <w:rPr>
          <w:rFonts w:ascii="Times New Roman" w:hAnsi="Times New Roman"/>
          <w:sz w:val="24"/>
          <w:szCs w:val="24"/>
        </w:rPr>
        <w:t>, Maternal health care, Nigeria</w:t>
      </w:r>
    </w:p>
    <w:p w:rsidR="002D25F1" w:rsidRDefault="002D25F1"/>
    <w:sectPr w:rsidR="002D25F1" w:rsidSect="002D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239"/>
    <w:rsid w:val="002D25F1"/>
    <w:rsid w:val="0041454F"/>
    <w:rsid w:val="005F0239"/>
    <w:rsid w:val="009C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2016-01-02T20:44:00Z</dcterms:created>
  <dcterms:modified xsi:type="dcterms:W3CDTF">2016-01-02T21:23:00Z</dcterms:modified>
</cp:coreProperties>
</file>