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560" w:rsidRPr="00BA0560" w:rsidRDefault="00BA0560" w:rsidP="00BA0560">
      <w:pPr>
        <w:jc w:val="center"/>
        <w:rPr>
          <w:rFonts w:ascii="Times New Roman" w:hAnsi="Times New Roman" w:cs="Times New Roman"/>
          <w:b/>
          <w:sz w:val="36"/>
        </w:rPr>
      </w:pPr>
      <w:r w:rsidRPr="00BA0560">
        <w:rPr>
          <w:rFonts w:ascii="Times New Roman" w:hAnsi="Times New Roman" w:cs="Times New Roman"/>
          <w:b/>
          <w:sz w:val="36"/>
        </w:rPr>
        <w:t>Un outil de diagnostic économique pour améliorer l’accès aux soins des personnes handicapées au Burkina Faso</w:t>
      </w:r>
    </w:p>
    <w:p w:rsidR="00BA0560" w:rsidRPr="00BA0560" w:rsidRDefault="00BA0560" w:rsidP="00BA0560">
      <w:pPr>
        <w:jc w:val="center"/>
        <w:rPr>
          <w:rFonts w:ascii="Times New Roman" w:hAnsi="Times New Roman" w:cs="Times New Roman"/>
        </w:rPr>
      </w:pPr>
      <w:r w:rsidRPr="00BA0560">
        <w:rPr>
          <w:rFonts w:ascii="Times New Roman" w:hAnsi="Times New Roman" w:cs="Times New Roman"/>
        </w:rPr>
        <w:t>Anna Boisgillot, Rozenn Béguin Botokro, Alain Letourmy</w:t>
      </w:r>
    </w:p>
    <w:p w:rsidR="00BA0560" w:rsidRPr="00BA0560" w:rsidRDefault="00BA0560" w:rsidP="00BA0560">
      <w:pPr>
        <w:jc w:val="both"/>
        <w:rPr>
          <w:rFonts w:ascii="Times New Roman" w:hAnsi="Times New Roman" w:cs="Times New Roman"/>
        </w:rPr>
      </w:pPr>
    </w:p>
    <w:p w:rsidR="00BA0560" w:rsidRPr="00BA0560" w:rsidRDefault="00BA0560" w:rsidP="00BA0560">
      <w:pPr>
        <w:spacing w:after="0"/>
        <w:jc w:val="both"/>
        <w:rPr>
          <w:rFonts w:ascii="Times New Roman" w:hAnsi="Times New Roman" w:cs="Times New Roman"/>
        </w:rPr>
      </w:pPr>
      <w:r w:rsidRPr="00BA0560">
        <w:rPr>
          <w:rFonts w:ascii="Times New Roman" w:hAnsi="Times New Roman" w:cs="Times New Roman"/>
        </w:rPr>
        <w:t>15% de la population mondiale vit une situation de handicap et 80% des personnes handicapées vivent dans des pays en développement. Les personnes handicapées ont des besoins de santé spécifiques (rééducation, appareillage, aides techniques) auxquels certaines renoncent en raison de leur situation de pauvreté notamment. L’objectif de cette étude est de délivrer des données économiques et financières robustes et fiables pour permettre au Burkina Faso d’atteindre la couverture sanitaire universelle et les Objectifs de Développement Durable. Ces données visent à mettre en œuvre des actions concrètes inclusives et des plaidoyers pour améliorer les conditions de vie des personnes handicapées en Afrique, et plus généralement dans les pays à revenu faible et intermédiaire.</w:t>
      </w:r>
    </w:p>
    <w:p w:rsidR="00BA0560" w:rsidRPr="00BA0560" w:rsidRDefault="00BA0560" w:rsidP="00BA0560">
      <w:pPr>
        <w:spacing w:after="0"/>
        <w:jc w:val="both"/>
        <w:rPr>
          <w:rFonts w:ascii="Times New Roman" w:hAnsi="Times New Roman" w:cs="Times New Roman"/>
        </w:rPr>
      </w:pPr>
    </w:p>
    <w:p w:rsidR="00BA0560" w:rsidRPr="00BA0560" w:rsidRDefault="00BA0560" w:rsidP="00BA0560">
      <w:pPr>
        <w:spacing w:after="0"/>
        <w:jc w:val="both"/>
        <w:rPr>
          <w:rFonts w:ascii="Times New Roman" w:hAnsi="Times New Roman" w:cs="Times New Roman"/>
        </w:rPr>
      </w:pPr>
      <w:r w:rsidRPr="00BA0560">
        <w:rPr>
          <w:rFonts w:ascii="Times New Roman" w:hAnsi="Times New Roman" w:cs="Times New Roman"/>
        </w:rPr>
        <w:t>Trois missions effectuées au Burkina Faso entre 2013 et 2015 ont permis de mener cette étude. Un outil de diagnostic du système économique de la réadaptation fonctionnelle a été élaboré en partenariat avec des experts de terrain, Handicap International, et des experts en économie de</w:t>
      </w:r>
      <w:r>
        <w:rPr>
          <w:rFonts w:ascii="Times New Roman" w:hAnsi="Times New Roman" w:cs="Times New Roman"/>
        </w:rPr>
        <w:t xml:space="preserve"> la santé, le CERDI</w:t>
      </w:r>
      <w:r>
        <w:rPr>
          <w:rStyle w:val="Appelnotedebasdep"/>
          <w:rFonts w:ascii="Times New Roman" w:hAnsi="Times New Roman" w:cs="Times New Roman"/>
        </w:rPr>
        <w:footnoteReference w:id="1"/>
      </w:r>
      <w:r>
        <w:rPr>
          <w:rFonts w:ascii="Times New Roman" w:hAnsi="Times New Roman" w:cs="Times New Roman"/>
        </w:rPr>
        <w:t xml:space="preserve"> et le CNRS</w:t>
      </w:r>
      <w:r>
        <w:rPr>
          <w:rStyle w:val="Appelnotedebasdep"/>
          <w:rFonts w:ascii="Times New Roman" w:hAnsi="Times New Roman" w:cs="Times New Roman"/>
        </w:rPr>
        <w:footnoteReference w:id="2"/>
      </w:r>
      <w:r w:rsidRPr="00BA0560">
        <w:rPr>
          <w:rFonts w:ascii="Times New Roman" w:hAnsi="Times New Roman" w:cs="Times New Roman"/>
        </w:rPr>
        <w:t>. L’outil de diagnostic analyse le système économique de la réadaptation à travers 25 indicateurs qualitatifs et quantitatifs dans quatre grands domaines - l’offre de soins de réadaptation disponible, le coût des soins de réadaptation imputé à l’usager, la couverture sociale et la capacité d’évolution de ce système.</w:t>
      </w:r>
    </w:p>
    <w:p w:rsidR="00BA0560" w:rsidRPr="00BA0560" w:rsidRDefault="00BA0560" w:rsidP="00BA0560">
      <w:pPr>
        <w:spacing w:after="0"/>
        <w:jc w:val="both"/>
        <w:rPr>
          <w:rFonts w:ascii="Times New Roman" w:hAnsi="Times New Roman" w:cs="Times New Roman"/>
        </w:rPr>
      </w:pPr>
    </w:p>
    <w:p w:rsidR="00BA0560" w:rsidRPr="00BA0560" w:rsidRDefault="00BA0560" w:rsidP="00BA0560">
      <w:pPr>
        <w:spacing w:after="0"/>
        <w:jc w:val="both"/>
        <w:rPr>
          <w:rFonts w:ascii="Times New Roman" w:hAnsi="Times New Roman" w:cs="Times New Roman"/>
        </w:rPr>
      </w:pPr>
      <w:r w:rsidRPr="00BA0560">
        <w:rPr>
          <w:rFonts w:ascii="Times New Roman" w:hAnsi="Times New Roman" w:cs="Times New Roman"/>
        </w:rPr>
        <w:t>La mise en œuvre de l’outil de diagnostic du système économique de la réadaptation a révélé des ressources humaines inadaptées (89,5% des besoins en appareillage ne sont pas couverts), des inégalités d’accès géographique (80% de la population vit à plus de 100 km d’un centre de réadaptation), des inégalités d’accès financier, une incomplétude de l’offre de services, un manque d’investissement financier de l’Etat et une faible disponibilité des données dans le domaine du handicap et de la réadaptation.</w:t>
      </w:r>
    </w:p>
    <w:p w:rsidR="00BA0560" w:rsidRPr="00BA0560" w:rsidRDefault="00BA0560" w:rsidP="00BA0560">
      <w:pPr>
        <w:spacing w:after="0"/>
        <w:jc w:val="both"/>
        <w:rPr>
          <w:rFonts w:ascii="Times New Roman" w:hAnsi="Times New Roman" w:cs="Times New Roman"/>
        </w:rPr>
      </w:pPr>
    </w:p>
    <w:p w:rsidR="00BA0560" w:rsidRPr="00BA0560" w:rsidRDefault="00BA0560" w:rsidP="00BA0560">
      <w:pPr>
        <w:jc w:val="both"/>
        <w:rPr>
          <w:rFonts w:ascii="Times New Roman" w:hAnsi="Times New Roman" w:cs="Times New Roman"/>
        </w:rPr>
      </w:pPr>
      <w:r w:rsidRPr="00BA0560">
        <w:rPr>
          <w:rFonts w:ascii="Times New Roman" w:hAnsi="Times New Roman" w:cs="Times New Roman"/>
        </w:rPr>
        <w:t>Les résultats obtenus suite au diagnostic révèlent la nécessité d’améliorer le niveau technique des services de santé, de renforcer l’accessibilité physique et l’accessibilité financière des personnes handicapées et de développer l’assurance maladie, et d’assurer un meilleur suivi des ressources humaines de la réadaptation en termes de formation, recrutement, déploiement et fidélisation. La prise en charge des soins, et plus particulièrement en réadaptation, nécessite l’approfondissement de la recherche, mais il conviendrait aussi que cette question essentielle pour établir un système de santé équitable, pérenne et inclusif fasse l’objet d’un véritable intérêt.</w:t>
      </w:r>
    </w:p>
    <w:p w:rsidR="00BA0560" w:rsidRPr="00BA0560" w:rsidRDefault="00BA0560" w:rsidP="00BA0560">
      <w:pPr>
        <w:jc w:val="both"/>
        <w:rPr>
          <w:rFonts w:ascii="Times New Roman" w:hAnsi="Times New Roman" w:cs="Times New Roman"/>
        </w:rPr>
      </w:pPr>
    </w:p>
    <w:p w:rsidR="00256C8E" w:rsidRPr="00BA0560" w:rsidRDefault="00BA0560" w:rsidP="00BA0560">
      <w:pPr>
        <w:jc w:val="both"/>
        <w:rPr>
          <w:rFonts w:ascii="Times New Roman" w:hAnsi="Times New Roman" w:cs="Times New Roman"/>
        </w:rPr>
      </w:pPr>
      <w:r w:rsidRPr="00BA0560">
        <w:rPr>
          <w:rFonts w:ascii="Times New Roman" w:hAnsi="Times New Roman" w:cs="Times New Roman"/>
          <w:u w:val="single"/>
        </w:rPr>
        <w:t>Mots clés</w:t>
      </w:r>
      <w:r w:rsidRPr="00BA0560">
        <w:rPr>
          <w:rFonts w:ascii="Times New Roman" w:hAnsi="Times New Roman" w:cs="Times New Roman"/>
        </w:rPr>
        <w:t xml:space="preserve"> : Personnes handicapées, Accessibilité, Réadaptation, Système de santé, Couverture sanitaire universelle, Objectifs de Développement Durable</w:t>
      </w:r>
      <w:bookmarkStart w:id="0" w:name="_GoBack"/>
      <w:bookmarkEnd w:id="0"/>
    </w:p>
    <w:sectPr w:rsidR="00256C8E" w:rsidRPr="00BA056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A76" w:rsidRDefault="00467A76" w:rsidP="00BA0560">
      <w:pPr>
        <w:spacing w:after="0" w:line="240" w:lineRule="auto"/>
      </w:pPr>
      <w:r>
        <w:separator/>
      </w:r>
    </w:p>
  </w:endnote>
  <w:endnote w:type="continuationSeparator" w:id="0">
    <w:p w:rsidR="00467A76" w:rsidRDefault="00467A76" w:rsidP="00BA0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A76" w:rsidRDefault="00467A76" w:rsidP="00BA0560">
      <w:pPr>
        <w:spacing w:after="0" w:line="240" w:lineRule="auto"/>
      </w:pPr>
      <w:r>
        <w:separator/>
      </w:r>
    </w:p>
  </w:footnote>
  <w:footnote w:type="continuationSeparator" w:id="0">
    <w:p w:rsidR="00467A76" w:rsidRDefault="00467A76" w:rsidP="00BA0560">
      <w:pPr>
        <w:spacing w:after="0" w:line="240" w:lineRule="auto"/>
      </w:pPr>
      <w:r>
        <w:continuationSeparator/>
      </w:r>
    </w:p>
  </w:footnote>
  <w:footnote w:id="1">
    <w:p w:rsidR="00BA0560" w:rsidRPr="00BA0560" w:rsidRDefault="00BA0560">
      <w:pPr>
        <w:pStyle w:val="Notedebasdepage"/>
        <w:rPr>
          <w:sz w:val="16"/>
          <w:szCs w:val="16"/>
        </w:rPr>
      </w:pPr>
      <w:r>
        <w:rPr>
          <w:rStyle w:val="Appelnotedebasdep"/>
        </w:rPr>
        <w:footnoteRef/>
      </w:r>
      <w:r>
        <w:t xml:space="preserve"> </w:t>
      </w:r>
      <w:r w:rsidRPr="00C2291A">
        <w:rPr>
          <w:sz w:val="16"/>
          <w:szCs w:val="16"/>
        </w:rPr>
        <w:t xml:space="preserve">Centre de Recherches et d’Etudes sur le Développement International – CERDI, </w:t>
      </w:r>
      <w:r>
        <w:rPr>
          <w:sz w:val="16"/>
          <w:szCs w:val="16"/>
        </w:rPr>
        <w:t>France</w:t>
      </w:r>
    </w:p>
  </w:footnote>
  <w:footnote w:id="2">
    <w:p w:rsidR="00BA0560" w:rsidRDefault="00BA0560">
      <w:pPr>
        <w:pStyle w:val="Notedebasdepage"/>
      </w:pPr>
      <w:r>
        <w:rPr>
          <w:rStyle w:val="Appelnotedebasdep"/>
        </w:rPr>
        <w:footnoteRef/>
      </w:r>
      <w:r>
        <w:t xml:space="preserve"> </w:t>
      </w:r>
      <w:r w:rsidRPr="00C2291A">
        <w:rPr>
          <w:sz w:val="16"/>
          <w:szCs w:val="16"/>
        </w:rPr>
        <w:t>Centre National de la Recherche Scientifique - CNRS, France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560" w:rsidRPr="004572BB" w:rsidRDefault="00BA0560" w:rsidP="00BA0560">
    <w:pPr>
      <w:pStyle w:val="En-tte"/>
      <w:rPr>
        <w:color w:val="7F7F7F" w:themeColor="text1" w:themeTint="80"/>
        <w:sz w:val="20"/>
      </w:rPr>
    </w:pPr>
    <w:proofErr w:type="spellStart"/>
    <w:r w:rsidRPr="004572BB">
      <w:rPr>
        <w:b/>
        <w:color w:val="7F7F7F" w:themeColor="text1" w:themeTint="80"/>
        <w:sz w:val="20"/>
      </w:rPr>
      <w:t>AfHEA</w:t>
    </w:r>
    <w:proofErr w:type="spellEnd"/>
    <w:r w:rsidRPr="004572BB">
      <w:rPr>
        <w:color w:val="7F7F7F" w:themeColor="text1" w:themeTint="80"/>
        <w:sz w:val="20"/>
      </w:rPr>
      <w:t xml:space="preserve"> – septembre 2016</w:t>
    </w:r>
  </w:p>
  <w:p w:rsidR="00BA0560" w:rsidRDefault="00BA056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560"/>
    <w:rsid w:val="00280B70"/>
    <w:rsid w:val="00467A76"/>
    <w:rsid w:val="004F6B1C"/>
    <w:rsid w:val="006E1E2D"/>
    <w:rsid w:val="0079530F"/>
    <w:rsid w:val="00A65F39"/>
    <w:rsid w:val="00BA05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A056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A0560"/>
    <w:rPr>
      <w:sz w:val="20"/>
      <w:szCs w:val="20"/>
    </w:rPr>
  </w:style>
  <w:style w:type="character" w:styleId="Appelnotedebasdep">
    <w:name w:val="footnote reference"/>
    <w:basedOn w:val="Policepardfaut"/>
    <w:uiPriority w:val="99"/>
    <w:semiHidden/>
    <w:unhideWhenUsed/>
    <w:rsid w:val="00BA0560"/>
    <w:rPr>
      <w:vertAlign w:val="superscript"/>
    </w:rPr>
  </w:style>
  <w:style w:type="paragraph" w:styleId="En-tte">
    <w:name w:val="header"/>
    <w:basedOn w:val="Normal"/>
    <w:link w:val="En-tteCar"/>
    <w:uiPriority w:val="99"/>
    <w:unhideWhenUsed/>
    <w:rsid w:val="00BA0560"/>
    <w:pPr>
      <w:tabs>
        <w:tab w:val="center" w:pos="4536"/>
        <w:tab w:val="right" w:pos="9072"/>
      </w:tabs>
      <w:spacing w:after="0" w:line="240" w:lineRule="auto"/>
    </w:pPr>
  </w:style>
  <w:style w:type="character" w:customStyle="1" w:styleId="En-tteCar">
    <w:name w:val="En-tête Car"/>
    <w:basedOn w:val="Policepardfaut"/>
    <w:link w:val="En-tte"/>
    <w:uiPriority w:val="99"/>
    <w:rsid w:val="00BA0560"/>
  </w:style>
  <w:style w:type="paragraph" w:styleId="Pieddepage">
    <w:name w:val="footer"/>
    <w:basedOn w:val="Normal"/>
    <w:link w:val="PieddepageCar"/>
    <w:uiPriority w:val="99"/>
    <w:unhideWhenUsed/>
    <w:rsid w:val="00BA05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05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A056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A0560"/>
    <w:rPr>
      <w:sz w:val="20"/>
      <w:szCs w:val="20"/>
    </w:rPr>
  </w:style>
  <w:style w:type="character" w:styleId="Appelnotedebasdep">
    <w:name w:val="footnote reference"/>
    <w:basedOn w:val="Policepardfaut"/>
    <w:uiPriority w:val="99"/>
    <w:semiHidden/>
    <w:unhideWhenUsed/>
    <w:rsid w:val="00BA0560"/>
    <w:rPr>
      <w:vertAlign w:val="superscript"/>
    </w:rPr>
  </w:style>
  <w:style w:type="paragraph" w:styleId="En-tte">
    <w:name w:val="header"/>
    <w:basedOn w:val="Normal"/>
    <w:link w:val="En-tteCar"/>
    <w:uiPriority w:val="99"/>
    <w:unhideWhenUsed/>
    <w:rsid w:val="00BA0560"/>
    <w:pPr>
      <w:tabs>
        <w:tab w:val="center" w:pos="4536"/>
        <w:tab w:val="right" w:pos="9072"/>
      </w:tabs>
      <w:spacing w:after="0" w:line="240" w:lineRule="auto"/>
    </w:pPr>
  </w:style>
  <w:style w:type="character" w:customStyle="1" w:styleId="En-tteCar">
    <w:name w:val="En-tête Car"/>
    <w:basedOn w:val="Policepardfaut"/>
    <w:link w:val="En-tte"/>
    <w:uiPriority w:val="99"/>
    <w:rsid w:val="00BA0560"/>
  </w:style>
  <w:style w:type="paragraph" w:styleId="Pieddepage">
    <w:name w:val="footer"/>
    <w:basedOn w:val="Normal"/>
    <w:link w:val="PieddepageCar"/>
    <w:uiPriority w:val="99"/>
    <w:unhideWhenUsed/>
    <w:rsid w:val="00BA05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0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DD5C1-E79D-4FAA-9E71-4B327DAFB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447</Words>
  <Characters>2459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BOISGILLOT</dc:creator>
  <cp:lastModifiedBy>Anna BOISGILLOT</cp:lastModifiedBy>
  <cp:revision>1</cp:revision>
  <dcterms:created xsi:type="dcterms:W3CDTF">2016-02-16T10:05:00Z</dcterms:created>
  <dcterms:modified xsi:type="dcterms:W3CDTF">2016-02-16T10:08:00Z</dcterms:modified>
</cp:coreProperties>
</file>