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860" w:rsidRDefault="007B2860" w:rsidP="007B2860">
      <w:pPr>
        <w:jc w:val="center"/>
        <w:rPr>
          <w:b/>
        </w:rPr>
      </w:pPr>
      <w:r w:rsidRPr="007B2860">
        <w:rPr>
          <w:b/>
        </w:rPr>
        <w:t>RESUME</w:t>
      </w:r>
    </w:p>
    <w:p w:rsidR="005D6851" w:rsidRPr="007B2860" w:rsidRDefault="005D6851" w:rsidP="005D6851">
      <w:pPr>
        <w:rPr>
          <w:b/>
        </w:rPr>
      </w:pPr>
      <w:r>
        <w:rPr>
          <w:b/>
        </w:rPr>
        <w:t xml:space="preserve">Titre : </w:t>
      </w:r>
      <w:bookmarkStart w:id="0" w:name="_GoBack"/>
      <w:bookmarkEnd w:id="0"/>
      <w:r w:rsidRPr="005D6851">
        <w:rPr>
          <w:b/>
        </w:rPr>
        <w:t>Analyse coût-efficacité de deux stratégies (options B et B+) de prévention de la transmission mère-enfant du virus d’immunodéficience humaine au Sénégal : cas du district sanitaire de Pikine</w:t>
      </w:r>
    </w:p>
    <w:p w:rsidR="007B2860" w:rsidRPr="006F193C" w:rsidRDefault="007B2860" w:rsidP="007B2860">
      <w:pPr>
        <w:spacing w:line="360" w:lineRule="auto"/>
        <w:ind w:firstLine="567"/>
        <w:jc w:val="both"/>
        <w:rPr>
          <w:rFonts w:cs="Times New Roman"/>
          <w:color w:val="000000" w:themeColor="text1"/>
          <w:sz w:val="20"/>
          <w:szCs w:val="24"/>
        </w:rPr>
      </w:pPr>
      <w:r w:rsidRPr="006F193C">
        <w:rPr>
          <w:sz w:val="20"/>
        </w:rPr>
        <w:t>Depuis l’an 2000, la course vers l’élimination de nouvelles transmission du Virus de l’Immunodéficience Humaine bat son plein. Ainsi, dans l’atteinte des Objectifs du Millénaire pour le Développement, la transmission verticale (transmission mère-enfant) du VIH constitue un élément fondamental et les différentes options thérapeutiques sont alors utilisées par les pays à cette fin. Au Sénégal, le programme de Prévention de la Transmission Mère-Enfant est marqué par le passage de l’option B à l’option B+.</w:t>
      </w:r>
      <w:r w:rsidRPr="006F193C">
        <w:rPr>
          <w:rFonts w:cs="Times New Roman"/>
          <w:color w:val="000000" w:themeColor="text1"/>
          <w:sz w:val="20"/>
          <w:szCs w:val="24"/>
        </w:rPr>
        <w:t xml:space="preserve"> </w:t>
      </w:r>
    </w:p>
    <w:p w:rsidR="007B2860" w:rsidRPr="006F193C" w:rsidRDefault="007B2860" w:rsidP="007B2860">
      <w:pPr>
        <w:spacing w:line="360" w:lineRule="auto"/>
        <w:ind w:firstLine="567"/>
        <w:jc w:val="both"/>
        <w:rPr>
          <w:sz w:val="20"/>
        </w:rPr>
      </w:pPr>
      <w:r w:rsidRPr="006F193C">
        <w:rPr>
          <w:rFonts w:cs="Times New Roman"/>
          <w:color w:val="000000" w:themeColor="text1"/>
          <w:sz w:val="20"/>
          <w:szCs w:val="24"/>
        </w:rPr>
        <w:t>Déterminer l’option la plus coût-efficace pour la PTME  au niveau d’un district sanitaire, l’</w:t>
      </w:r>
      <w:r w:rsidRPr="006F193C">
        <w:rPr>
          <w:sz w:val="20"/>
        </w:rPr>
        <w:t xml:space="preserve">unité opérationnelle de la politique de santé, est l’objectif de cette étude. </w:t>
      </w:r>
    </w:p>
    <w:p w:rsidR="007B2860" w:rsidRPr="006F193C" w:rsidRDefault="007B2860" w:rsidP="007B2860">
      <w:pPr>
        <w:spacing w:line="360" w:lineRule="auto"/>
        <w:ind w:firstLine="567"/>
        <w:jc w:val="both"/>
        <w:rPr>
          <w:sz w:val="20"/>
        </w:rPr>
      </w:pPr>
      <w:r w:rsidRPr="006F193C">
        <w:rPr>
          <w:sz w:val="20"/>
        </w:rPr>
        <w:t>Le district sanitaire de Pikine est le lieu d’étude. Les femmes enceintes séropositives suivies en 2012 pour l’option B (traitement par trithérapie antirétrovirale [ARV] de la mère pendant la grossesse et l'allaitement) et 2013 pour l’option B+ (traitement par trithérapie ARV initié pendant la grossesse et ensuite pris à vie) ont constituées la population d’étude. Les principaux coûts pris en compte sont liés au conseil et dépistage, à la mesure du taux de CD4, à la fourniture des antirétroviraux, aux activités communautaires, à la planification familiale, à l’accouchement, au diagnostic précoce et à la gestion du programme.</w:t>
      </w:r>
    </w:p>
    <w:p w:rsidR="007B2860" w:rsidRDefault="007B2860" w:rsidP="007B2860">
      <w:pPr>
        <w:spacing w:line="360" w:lineRule="auto"/>
        <w:ind w:firstLine="567"/>
        <w:jc w:val="both"/>
        <w:rPr>
          <w:sz w:val="20"/>
        </w:rPr>
      </w:pPr>
      <w:r w:rsidRPr="006F193C">
        <w:rPr>
          <w:sz w:val="20"/>
        </w:rPr>
        <w:t>Les résultats ont montré que l’option B+ avec 15.461.561 FCFA est plus coûteuse que l’option B (12.816.732 FCFA). Au niveau du coût par infection évitée, il est de 2.136.122 FCFA pour l’option B contre 2.208732 FCFA pour l’option B+.</w:t>
      </w:r>
      <w:r w:rsidRPr="006F193C">
        <w:rPr>
          <w:rFonts w:cs="Times New Roman"/>
          <w:sz w:val="20"/>
          <w:szCs w:val="24"/>
        </w:rPr>
        <w:t xml:space="preserve"> L’option B est plus coût-efficace par rapport à B+. </w:t>
      </w:r>
      <w:r w:rsidRPr="006F193C">
        <w:rPr>
          <w:sz w:val="20"/>
        </w:rPr>
        <w:t xml:space="preserve">Le coût par femme testée </w:t>
      </w:r>
      <w:proofErr w:type="gramStart"/>
      <w:r w:rsidRPr="006F193C">
        <w:rPr>
          <w:sz w:val="20"/>
        </w:rPr>
        <w:t>est</w:t>
      </w:r>
      <w:proofErr w:type="gramEnd"/>
      <w:r w:rsidRPr="006F193C">
        <w:rPr>
          <w:sz w:val="20"/>
        </w:rPr>
        <w:t xml:space="preserve"> pratiquement le même que celui enregistré dans plusieurs pays d’Afrique, aux alentours de 3200 FCFA</w:t>
      </w:r>
    </w:p>
    <w:p w:rsidR="007B2860" w:rsidRDefault="007B2860" w:rsidP="007B2860">
      <w:pPr>
        <w:spacing w:line="360" w:lineRule="auto"/>
        <w:ind w:firstLine="567"/>
        <w:jc w:val="both"/>
        <w:rPr>
          <w:sz w:val="20"/>
        </w:rPr>
      </w:pPr>
      <w:r w:rsidRPr="006F193C">
        <w:rPr>
          <w:sz w:val="20"/>
        </w:rPr>
        <w:t>Dans la mise en œuvre de la PTME, l’option B+ est certes coûteuse mais mérite d’être pérenniser afin d’éviter toutes nouvelles contaminations par voie verticale du VIH chez les enfants.</w:t>
      </w:r>
    </w:p>
    <w:p w:rsidR="005A0D00" w:rsidRPr="007B2860" w:rsidRDefault="007B2860" w:rsidP="007B2860">
      <w:pPr>
        <w:spacing w:line="360" w:lineRule="auto"/>
        <w:jc w:val="both"/>
        <w:rPr>
          <w:sz w:val="20"/>
        </w:rPr>
      </w:pPr>
      <w:r w:rsidRPr="006F193C">
        <w:rPr>
          <w:b/>
          <w:sz w:val="20"/>
        </w:rPr>
        <w:t>Mots clés</w:t>
      </w:r>
      <w:r w:rsidRPr="006F193C">
        <w:rPr>
          <w:sz w:val="20"/>
        </w:rPr>
        <w:t xml:space="preserve"> : VIH - PTME </w:t>
      </w:r>
      <w:r w:rsidRPr="006F193C">
        <w:rPr>
          <w:b/>
          <w:sz w:val="20"/>
        </w:rPr>
        <w:t>–</w:t>
      </w:r>
      <w:r w:rsidRPr="006F193C">
        <w:rPr>
          <w:sz w:val="20"/>
        </w:rPr>
        <w:t xml:space="preserve"> option B – option B+ – coût-efficacité –district </w:t>
      </w:r>
      <w:r>
        <w:rPr>
          <w:sz w:val="20"/>
        </w:rPr>
        <w:t>–</w:t>
      </w:r>
      <w:r w:rsidRPr="006F193C">
        <w:rPr>
          <w:sz w:val="20"/>
        </w:rPr>
        <w:t xml:space="preserve"> Pikine</w:t>
      </w:r>
      <w:r>
        <w:rPr>
          <w:sz w:val="20"/>
        </w:rPr>
        <w:t xml:space="preserve"> –Sénégal</w:t>
      </w:r>
    </w:p>
    <w:sectPr w:rsidR="005A0D00" w:rsidRPr="007B2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60"/>
    <w:rsid w:val="005A0D00"/>
    <w:rsid w:val="005D6851"/>
    <w:rsid w:val="007B2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2B4DE-415B-4468-A29D-5CFCF2EA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60"/>
    <w:pPr>
      <w:spacing w:after="200" w:line="276" w:lineRule="auto"/>
    </w:pPr>
    <w:rPr>
      <w:rFonts w:ascii="Times New Roman" w:hAnsi="Times New Roman"/>
      <w:sz w:val="24"/>
    </w:rPr>
  </w:style>
  <w:style w:type="paragraph" w:styleId="Titre1">
    <w:name w:val="heading 1"/>
    <w:basedOn w:val="Normal"/>
    <w:next w:val="Normal"/>
    <w:link w:val="Titre1Car"/>
    <w:autoRedefine/>
    <w:uiPriority w:val="9"/>
    <w:qFormat/>
    <w:rsid w:val="007B2860"/>
    <w:pPr>
      <w:keepNext/>
      <w:keepLines/>
      <w:spacing w:after="0" w:line="360" w:lineRule="auto"/>
      <w:jc w:val="center"/>
      <w:outlineLvl w:val="0"/>
    </w:pPr>
    <w:rPr>
      <w:rFonts w:eastAsiaTheme="majorEastAsia" w:cstheme="majorBidi"/>
      <w:b/>
      <w:bCs/>
      <w:color w:val="000000" w:themeColor="text1"/>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2860"/>
    <w:rPr>
      <w:rFonts w:ascii="Times New Roman" w:eastAsiaTheme="majorEastAsia" w:hAnsi="Times New Roman" w:cstheme="majorBidi"/>
      <w:b/>
      <w:bCs/>
      <w:color w:val="000000" w:themeColor="tex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Words>
  <Characters>1873</Characters>
  <Application>Microsoft Office Word</Application>
  <DocSecurity>0</DocSecurity>
  <Lines>15</Lines>
  <Paragraphs>4</Paragraphs>
  <ScaleCrop>false</ScaleCrop>
  <Company>Toshiba</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Ulrich-Anthelme ADOMBI</dc:creator>
  <cp:keywords/>
  <dc:description/>
  <cp:lastModifiedBy>Ulrich-Anthelme ADOMBI</cp:lastModifiedBy>
  <cp:revision>2</cp:revision>
  <dcterms:created xsi:type="dcterms:W3CDTF">2016-02-27T20:16:00Z</dcterms:created>
  <dcterms:modified xsi:type="dcterms:W3CDTF">2016-02-27T20:43:00Z</dcterms:modified>
</cp:coreProperties>
</file>