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181" w:rsidRPr="00C060B0" w:rsidRDefault="00C060B0" w:rsidP="00C060B0">
      <w:pPr>
        <w:spacing w:line="240" w:lineRule="auto"/>
        <w:jc w:val="center"/>
        <w:rPr>
          <w:rFonts w:ascii="Tahoma" w:hAnsi="Tahoma" w:cs="Tahoma"/>
          <w:b/>
          <w:sz w:val="28"/>
          <w:szCs w:val="28"/>
        </w:rPr>
      </w:pPr>
      <w:r w:rsidRPr="00C060B0">
        <w:rPr>
          <w:rFonts w:ascii="Tahoma" w:hAnsi="Tahoma" w:cs="Tahoma"/>
          <w:b/>
          <w:sz w:val="28"/>
          <w:szCs w:val="28"/>
        </w:rPr>
        <w:t xml:space="preserve">Couverture universelle en santé au Burkina Faso : </w:t>
      </w:r>
      <w:r>
        <w:rPr>
          <w:rFonts w:ascii="Tahoma" w:hAnsi="Tahoma" w:cs="Tahoma"/>
          <w:b/>
          <w:sz w:val="28"/>
          <w:szCs w:val="28"/>
        </w:rPr>
        <w:t>données de base</w:t>
      </w:r>
      <w:r w:rsidRPr="00C060B0">
        <w:rPr>
          <w:rFonts w:ascii="Tahoma" w:hAnsi="Tahoma" w:cs="Tahoma"/>
          <w:b/>
          <w:sz w:val="28"/>
          <w:szCs w:val="28"/>
        </w:rPr>
        <w:t xml:space="preserve"> pour le suivi des progrès</w:t>
      </w:r>
    </w:p>
    <w:p w:rsidR="000365EB" w:rsidRPr="00ED40B0" w:rsidRDefault="000365EB" w:rsidP="000365EB">
      <w:pPr>
        <w:spacing w:line="240" w:lineRule="auto"/>
        <w:rPr>
          <w:rFonts w:ascii="Times New Roman" w:hAnsi="Times New Roman" w:cs="Times New Roman"/>
          <w:sz w:val="20"/>
          <w:szCs w:val="20"/>
        </w:rPr>
      </w:pPr>
    </w:p>
    <w:p w:rsidR="000365EB" w:rsidRPr="00ED40B0" w:rsidRDefault="00392086" w:rsidP="00D925BF">
      <w:pPr>
        <w:pStyle w:val="Paragraphedeliste"/>
        <w:numPr>
          <w:ilvl w:val="0"/>
          <w:numId w:val="1"/>
        </w:numPr>
        <w:spacing w:line="240" w:lineRule="auto"/>
        <w:rPr>
          <w:rFonts w:ascii="Tahoma" w:hAnsi="Tahoma" w:cs="Tahoma"/>
          <w:b/>
          <w:sz w:val="20"/>
          <w:szCs w:val="20"/>
        </w:rPr>
      </w:pPr>
      <w:r w:rsidRPr="00ED40B0">
        <w:rPr>
          <w:rFonts w:ascii="Tahoma" w:hAnsi="Tahoma" w:cs="Tahoma"/>
          <w:b/>
          <w:sz w:val="20"/>
          <w:szCs w:val="20"/>
        </w:rPr>
        <w:t xml:space="preserve">Introduction </w:t>
      </w:r>
    </w:p>
    <w:p w:rsidR="00367F94" w:rsidRPr="00ED40B0" w:rsidRDefault="000A5DC0" w:rsidP="00110CA6">
      <w:pPr>
        <w:spacing w:line="240" w:lineRule="auto"/>
        <w:jc w:val="both"/>
        <w:rPr>
          <w:rFonts w:ascii="Times New Roman" w:hAnsi="Times New Roman" w:cs="Times New Roman"/>
          <w:sz w:val="20"/>
          <w:szCs w:val="20"/>
          <w:lang w:val="fr-FR"/>
        </w:rPr>
      </w:pPr>
      <w:r w:rsidRPr="00ED40B0">
        <w:rPr>
          <w:rFonts w:ascii="Times New Roman" w:hAnsi="Times New Roman" w:cs="Times New Roman"/>
          <w:sz w:val="20"/>
          <w:szCs w:val="20"/>
        </w:rPr>
        <w:t xml:space="preserve">L’Assemblée Générale des Nations Unies a adopté au mois de septembre 2015, </w:t>
      </w:r>
      <w:r w:rsidR="00B411FA" w:rsidRPr="00ED40B0">
        <w:rPr>
          <w:rFonts w:ascii="Times New Roman" w:hAnsi="Times New Roman" w:cs="Times New Roman"/>
          <w:sz w:val="20"/>
          <w:szCs w:val="20"/>
        </w:rPr>
        <w:t xml:space="preserve">la Déclaration qui porte sur </w:t>
      </w:r>
      <w:r w:rsidRPr="00ED40B0">
        <w:rPr>
          <w:rFonts w:ascii="Times New Roman" w:hAnsi="Times New Roman" w:cs="Times New Roman"/>
          <w:sz w:val="20"/>
          <w:szCs w:val="20"/>
        </w:rPr>
        <w:t xml:space="preserve">le Programme de Développement Durable à l’horizon 2030. Ce programme fait de la Couverture Sanitaire Universelle </w:t>
      </w:r>
      <w:r w:rsidR="00B411FA" w:rsidRPr="00ED40B0">
        <w:rPr>
          <w:rFonts w:ascii="Times New Roman" w:hAnsi="Times New Roman" w:cs="Times New Roman"/>
          <w:sz w:val="20"/>
          <w:szCs w:val="20"/>
        </w:rPr>
        <w:t xml:space="preserve">(CUS) </w:t>
      </w:r>
      <w:r w:rsidRPr="00ED40B0">
        <w:rPr>
          <w:rFonts w:ascii="Times New Roman" w:hAnsi="Times New Roman" w:cs="Times New Roman"/>
          <w:sz w:val="20"/>
          <w:szCs w:val="20"/>
        </w:rPr>
        <w:t xml:space="preserve">l’une des </w:t>
      </w:r>
      <w:r w:rsidR="00110CA6" w:rsidRPr="00ED40B0">
        <w:rPr>
          <w:rFonts w:ascii="Times New Roman" w:hAnsi="Times New Roman" w:cs="Times New Roman"/>
          <w:sz w:val="20"/>
          <w:szCs w:val="20"/>
        </w:rPr>
        <w:t xml:space="preserve">13 </w:t>
      </w:r>
      <w:r w:rsidRPr="00ED40B0">
        <w:rPr>
          <w:rFonts w:ascii="Times New Roman" w:hAnsi="Times New Roman" w:cs="Times New Roman"/>
          <w:sz w:val="20"/>
          <w:szCs w:val="20"/>
        </w:rPr>
        <w:t>cibles de l’Objectif de Développement Durable (ODD) relatif à la santé qui consiste à « Permettre à tous de vivre en bonne santé et promouvoir le bien-être de tous à tout âge</w:t>
      </w:r>
      <w:r w:rsidRPr="00ED40B0">
        <w:rPr>
          <w:rFonts w:ascii="Times New Roman" w:hAnsi="Times New Roman" w:cs="Times New Roman"/>
          <w:sz w:val="20"/>
          <w:szCs w:val="20"/>
          <w:lang w:val="fr-FR"/>
        </w:rPr>
        <w:t> »</w:t>
      </w:r>
      <w:r w:rsidR="00110CA6" w:rsidRPr="00ED40B0">
        <w:rPr>
          <w:rFonts w:ascii="Times New Roman" w:hAnsi="Times New Roman" w:cs="Times New Roman"/>
          <w:sz w:val="20"/>
          <w:szCs w:val="20"/>
          <w:lang w:val="fr-FR"/>
        </w:rPr>
        <w:t>. L</w:t>
      </w:r>
      <w:r w:rsidRPr="00ED40B0">
        <w:rPr>
          <w:rFonts w:ascii="Times New Roman" w:hAnsi="Times New Roman" w:cs="Times New Roman"/>
          <w:sz w:val="20"/>
          <w:szCs w:val="20"/>
          <w:lang w:val="fr-FR"/>
        </w:rPr>
        <w:t xml:space="preserve">a Déclaration des Nations Unies </w:t>
      </w:r>
      <w:r w:rsidR="00110CA6" w:rsidRPr="00ED40B0">
        <w:rPr>
          <w:rFonts w:ascii="Times New Roman" w:hAnsi="Times New Roman" w:cs="Times New Roman"/>
          <w:sz w:val="20"/>
          <w:szCs w:val="20"/>
          <w:lang w:val="fr-FR"/>
        </w:rPr>
        <w:t xml:space="preserve">relative aux </w:t>
      </w:r>
      <w:r w:rsidRPr="00ED40B0">
        <w:rPr>
          <w:rFonts w:ascii="Times New Roman" w:hAnsi="Times New Roman" w:cs="Times New Roman"/>
          <w:sz w:val="20"/>
          <w:szCs w:val="20"/>
          <w:lang w:val="fr-FR"/>
        </w:rPr>
        <w:t xml:space="preserve">ODD </w:t>
      </w:r>
      <w:r w:rsidR="00110CA6" w:rsidRPr="00ED40B0">
        <w:rPr>
          <w:rFonts w:ascii="Times New Roman" w:hAnsi="Times New Roman" w:cs="Times New Roman"/>
          <w:sz w:val="20"/>
          <w:szCs w:val="20"/>
          <w:lang w:val="fr-FR"/>
        </w:rPr>
        <w:t>ajoute que « pour favoriser la santé et le bien-être physique et mental et pour allonger l’espérance de vie, nous devons assurer la couverture universelle en santé et l’accès de tous à des soins de qualité. Personne ne doit être laissé pour compte ». Dans le même ordre d’idée</w:t>
      </w:r>
      <w:r w:rsidR="00B411FA" w:rsidRPr="00ED40B0">
        <w:rPr>
          <w:rFonts w:ascii="Times New Roman" w:hAnsi="Times New Roman" w:cs="Times New Roman"/>
          <w:sz w:val="20"/>
          <w:szCs w:val="20"/>
          <w:lang w:val="fr-FR"/>
        </w:rPr>
        <w:t xml:space="preserve">, </w:t>
      </w:r>
      <w:r w:rsidR="00913720" w:rsidRPr="00ED40B0">
        <w:rPr>
          <w:rFonts w:ascii="Times New Roman" w:hAnsi="Times New Roman" w:cs="Times New Roman"/>
          <w:sz w:val="20"/>
          <w:szCs w:val="20"/>
          <w:lang w:val="fr-FR"/>
        </w:rPr>
        <w:t>faisant référence au rapport publié par l’OMS intitulé « </w:t>
      </w:r>
      <w:proofErr w:type="spellStart"/>
      <w:r w:rsidR="00913720" w:rsidRPr="00ED40B0">
        <w:rPr>
          <w:rFonts w:ascii="Times New Roman" w:hAnsi="Times New Roman" w:cs="Times New Roman"/>
          <w:i/>
          <w:sz w:val="20"/>
          <w:szCs w:val="20"/>
          <w:lang w:val="fr-FR"/>
        </w:rPr>
        <w:t>Health</w:t>
      </w:r>
      <w:proofErr w:type="spellEnd"/>
      <w:r w:rsidR="00913720" w:rsidRPr="00ED40B0">
        <w:rPr>
          <w:rFonts w:ascii="Times New Roman" w:hAnsi="Times New Roman" w:cs="Times New Roman"/>
          <w:i/>
          <w:sz w:val="20"/>
          <w:szCs w:val="20"/>
          <w:lang w:val="fr-FR"/>
        </w:rPr>
        <w:t xml:space="preserve"> </w:t>
      </w:r>
      <w:proofErr w:type="spellStart"/>
      <w:r w:rsidR="00913720" w:rsidRPr="00ED40B0">
        <w:rPr>
          <w:rFonts w:ascii="Times New Roman" w:hAnsi="Times New Roman" w:cs="Times New Roman"/>
          <w:i/>
          <w:sz w:val="20"/>
          <w:szCs w:val="20"/>
          <w:lang w:val="fr-FR"/>
        </w:rPr>
        <w:t>in</w:t>
      </w:r>
      <w:proofErr w:type="spellEnd"/>
      <w:r w:rsidR="00913720" w:rsidRPr="00ED40B0">
        <w:rPr>
          <w:rFonts w:ascii="Times New Roman" w:hAnsi="Times New Roman" w:cs="Times New Roman"/>
          <w:i/>
          <w:sz w:val="20"/>
          <w:szCs w:val="20"/>
          <w:lang w:val="fr-FR"/>
        </w:rPr>
        <w:t xml:space="preserve"> 2015, </w:t>
      </w:r>
      <w:proofErr w:type="spellStart"/>
      <w:r w:rsidR="00913720" w:rsidRPr="00ED40B0">
        <w:rPr>
          <w:rFonts w:ascii="Times New Roman" w:hAnsi="Times New Roman" w:cs="Times New Roman"/>
          <w:i/>
          <w:sz w:val="20"/>
          <w:szCs w:val="20"/>
          <w:lang w:val="fr-FR"/>
        </w:rPr>
        <w:t>from</w:t>
      </w:r>
      <w:proofErr w:type="spellEnd"/>
      <w:r w:rsidR="00913720" w:rsidRPr="00ED40B0">
        <w:rPr>
          <w:rFonts w:ascii="Times New Roman" w:hAnsi="Times New Roman" w:cs="Times New Roman"/>
          <w:i/>
          <w:sz w:val="20"/>
          <w:szCs w:val="20"/>
          <w:lang w:val="fr-FR"/>
        </w:rPr>
        <w:t xml:space="preserve"> Millenium </w:t>
      </w:r>
      <w:proofErr w:type="spellStart"/>
      <w:r w:rsidR="00913720" w:rsidRPr="00ED40B0">
        <w:rPr>
          <w:rFonts w:ascii="Times New Roman" w:hAnsi="Times New Roman" w:cs="Times New Roman"/>
          <w:i/>
          <w:sz w:val="20"/>
          <w:szCs w:val="20"/>
          <w:lang w:val="fr-FR"/>
        </w:rPr>
        <w:t>Developement</w:t>
      </w:r>
      <w:proofErr w:type="spellEnd"/>
      <w:r w:rsidR="00913720" w:rsidRPr="00ED40B0">
        <w:rPr>
          <w:rFonts w:ascii="Times New Roman" w:hAnsi="Times New Roman" w:cs="Times New Roman"/>
          <w:i/>
          <w:sz w:val="20"/>
          <w:szCs w:val="20"/>
          <w:lang w:val="fr-FR"/>
        </w:rPr>
        <w:t xml:space="preserve"> Goals to </w:t>
      </w:r>
      <w:proofErr w:type="spellStart"/>
      <w:r w:rsidR="00913720" w:rsidRPr="00ED40B0">
        <w:rPr>
          <w:rFonts w:ascii="Times New Roman" w:hAnsi="Times New Roman" w:cs="Times New Roman"/>
          <w:i/>
          <w:sz w:val="20"/>
          <w:szCs w:val="20"/>
          <w:lang w:val="fr-FR"/>
        </w:rPr>
        <w:t>Sustanable</w:t>
      </w:r>
      <w:proofErr w:type="spellEnd"/>
      <w:r w:rsidR="00913720" w:rsidRPr="00ED40B0">
        <w:rPr>
          <w:rFonts w:ascii="Times New Roman" w:hAnsi="Times New Roman" w:cs="Times New Roman"/>
          <w:i/>
          <w:sz w:val="20"/>
          <w:szCs w:val="20"/>
          <w:lang w:val="fr-FR"/>
        </w:rPr>
        <w:t xml:space="preserve"> </w:t>
      </w:r>
      <w:proofErr w:type="spellStart"/>
      <w:r w:rsidR="00913720" w:rsidRPr="00ED40B0">
        <w:rPr>
          <w:rFonts w:ascii="Times New Roman" w:hAnsi="Times New Roman" w:cs="Times New Roman"/>
          <w:i/>
          <w:sz w:val="20"/>
          <w:szCs w:val="20"/>
          <w:lang w:val="fr-FR"/>
        </w:rPr>
        <w:t>Developmement</w:t>
      </w:r>
      <w:proofErr w:type="spellEnd"/>
      <w:r w:rsidR="00913720" w:rsidRPr="00ED40B0">
        <w:rPr>
          <w:rFonts w:ascii="Times New Roman" w:hAnsi="Times New Roman" w:cs="Times New Roman"/>
          <w:i/>
          <w:sz w:val="20"/>
          <w:szCs w:val="20"/>
          <w:lang w:val="fr-FR"/>
        </w:rPr>
        <w:t xml:space="preserve"> Goals », </w:t>
      </w:r>
      <w:r w:rsidR="00110CA6" w:rsidRPr="00ED40B0">
        <w:rPr>
          <w:rFonts w:ascii="Times New Roman" w:hAnsi="Times New Roman" w:cs="Times New Roman"/>
          <w:sz w:val="20"/>
          <w:szCs w:val="20"/>
          <w:lang w:val="fr-FR"/>
        </w:rPr>
        <w:t xml:space="preserve"> </w:t>
      </w:r>
      <w:r w:rsidR="00913720" w:rsidRPr="00ED40B0">
        <w:rPr>
          <w:rFonts w:ascii="Times New Roman" w:hAnsi="Times New Roman" w:cs="Times New Roman"/>
          <w:sz w:val="20"/>
          <w:szCs w:val="20"/>
          <w:lang w:val="fr-FR"/>
        </w:rPr>
        <w:t xml:space="preserve">la Directrice Générale de l’OMS affirme </w:t>
      </w:r>
      <w:r w:rsidR="00B411FA" w:rsidRPr="00ED40B0">
        <w:rPr>
          <w:rFonts w:ascii="Times New Roman" w:hAnsi="Times New Roman" w:cs="Times New Roman"/>
          <w:sz w:val="20"/>
          <w:szCs w:val="20"/>
          <w:lang w:val="fr-FR"/>
        </w:rPr>
        <w:t xml:space="preserve">dans son message de fin d’année </w:t>
      </w:r>
      <w:r w:rsidR="00913720" w:rsidRPr="00ED40B0">
        <w:rPr>
          <w:rFonts w:ascii="Times New Roman" w:hAnsi="Times New Roman" w:cs="Times New Roman"/>
          <w:sz w:val="20"/>
          <w:szCs w:val="20"/>
          <w:lang w:val="fr-FR"/>
        </w:rPr>
        <w:t xml:space="preserve">que </w:t>
      </w:r>
      <w:r w:rsidR="00B411FA" w:rsidRPr="00ED40B0">
        <w:rPr>
          <w:rFonts w:ascii="Times New Roman" w:hAnsi="Times New Roman" w:cs="Times New Roman"/>
          <w:sz w:val="20"/>
          <w:szCs w:val="20"/>
          <w:lang w:val="fr-FR"/>
        </w:rPr>
        <w:t>« </w:t>
      </w:r>
      <w:r w:rsidR="00913720" w:rsidRPr="00ED40B0">
        <w:rPr>
          <w:rFonts w:ascii="Times New Roman" w:hAnsi="Times New Roman" w:cs="Times New Roman"/>
          <w:sz w:val="20"/>
          <w:szCs w:val="20"/>
          <w:lang w:val="fr-FR"/>
        </w:rPr>
        <w:t xml:space="preserve">la couverture universelle en Santé </w:t>
      </w:r>
      <w:r w:rsidR="00913720" w:rsidRPr="00ED40B0">
        <w:rPr>
          <w:rFonts w:ascii="Times New Roman" w:hAnsi="Times New Roman" w:cs="Times New Roman"/>
          <w:sz w:val="20"/>
          <w:szCs w:val="20"/>
        </w:rPr>
        <w:t>ressort comme la cible qui sous-tend toutes les autres</w:t>
      </w:r>
      <w:r w:rsidR="00B411FA" w:rsidRPr="00ED40B0">
        <w:rPr>
          <w:rFonts w:ascii="Times New Roman" w:hAnsi="Times New Roman" w:cs="Times New Roman"/>
          <w:sz w:val="20"/>
          <w:szCs w:val="20"/>
        </w:rPr>
        <w:t> »</w:t>
      </w:r>
      <w:r w:rsidR="00913720" w:rsidRPr="00ED40B0">
        <w:rPr>
          <w:rFonts w:ascii="Times New Roman" w:hAnsi="Times New Roman" w:cs="Times New Roman"/>
          <w:sz w:val="20"/>
          <w:szCs w:val="20"/>
          <w:lang w:val="fr-FR"/>
        </w:rPr>
        <w:t xml:space="preserve">. La </w:t>
      </w:r>
      <w:r w:rsidR="00F2232B" w:rsidRPr="00ED40B0">
        <w:rPr>
          <w:rFonts w:ascii="Times New Roman" w:hAnsi="Times New Roman" w:cs="Times New Roman"/>
          <w:sz w:val="20"/>
          <w:szCs w:val="20"/>
          <w:lang w:val="fr-FR"/>
        </w:rPr>
        <w:t>CUS</w:t>
      </w:r>
      <w:r w:rsidR="00913720" w:rsidRPr="00ED40B0">
        <w:rPr>
          <w:rFonts w:ascii="Times New Roman" w:hAnsi="Times New Roman" w:cs="Times New Roman"/>
          <w:sz w:val="20"/>
          <w:szCs w:val="20"/>
          <w:lang w:val="fr-FR"/>
        </w:rPr>
        <w:t xml:space="preserve"> est </w:t>
      </w:r>
      <w:r w:rsidR="00B411FA" w:rsidRPr="00ED40B0">
        <w:rPr>
          <w:rFonts w:ascii="Times New Roman" w:hAnsi="Times New Roman" w:cs="Times New Roman"/>
          <w:sz w:val="20"/>
          <w:szCs w:val="20"/>
          <w:lang w:val="fr-FR"/>
        </w:rPr>
        <w:t xml:space="preserve">ainsi </w:t>
      </w:r>
      <w:r w:rsidR="00913720" w:rsidRPr="00ED40B0">
        <w:rPr>
          <w:rFonts w:ascii="Times New Roman" w:hAnsi="Times New Roman" w:cs="Times New Roman"/>
          <w:sz w:val="20"/>
          <w:szCs w:val="20"/>
          <w:lang w:val="fr-FR"/>
        </w:rPr>
        <w:t xml:space="preserve">devenu le point central de l’agenda de développement durable dans le secteur de la santé. </w:t>
      </w:r>
    </w:p>
    <w:p w:rsidR="00913720" w:rsidRPr="00ED40B0" w:rsidRDefault="00367F94" w:rsidP="00F2232B">
      <w:pPr>
        <w:spacing w:line="240" w:lineRule="auto"/>
        <w:jc w:val="both"/>
        <w:rPr>
          <w:rFonts w:ascii="Times New Roman" w:hAnsi="Times New Roman" w:cs="Times New Roman"/>
          <w:sz w:val="20"/>
          <w:szCs w:val="20"/>
          <w:lang w:val="fr-FR"/>
        </w:rPr>
      </w:pPr>
      <w:r w:rsidRPr="00ED40B0">
        <w:rPr>
          <w:rFonts w:ascii="Times New Roman" w:hAnsi="Times New Roman" w:cs="Times New Roman"/>
          <w:sz w:val="20"/>
          <w:szCs w:val="20"/>
          <w:lang w:val="fr-FR"/>
        </w:rPr>
        <w:t xml:space="preserve">Dans le but d’aider les pays et la communauté internationale à suivre les changements qui vont être réalisés dans ce domaine, l’Organisation Mondiale de la Santé </w:t>
      </w:r>
      <w:r w:rsidR="00B411FA" w:rsidRPr="00ED40B0">
        <w:rPr>
          <w:rFonts w:ascii="Times New Roman" w:hAnsi="Times New Roman" w:cs="Times New Roman"/>
          <w:sz w:val="20"/>
          <w:szCs w:val="20"/>
          <w:lang w:val="fr-FR"/>
        </w:rPr>
        <w:t xml:space="preserve">(OMS) </w:t>
      </w:r>
      <w:r w:rsidRPr="00ED40B0">
        <w:rPr>
          <w:rFonts w:ascii="Times New Roman" w:hAnsi="Times New Roman" w:cs="Times New Roman"/>
          <w:sz w:val="20"/>
          <w:szCs w:val="20"/>
          <w:lang w:val="fr-FR"/>
        </w:rPr>
        <w:t xml:space="preserve">et la Banque Mondiale </w:t>
      </w:r>
      <w:r w:rsidR="00B411FA" w:rsidRPr="00ED40B0">
        <w:rPr>
          <w:rFonts w:ascii="Times New Roman" w:hAnsi="Times New Roman" w:cs="Times New Roman"/>
          <w:sz w:val="20"/>
          <w:szCs w:val="20"/>
          <w:lang w:val="fr-FR"/>
        </w:rPr>
        <w:t xml:space="preserve">(BM) </w:t>
      </w:r>
      <w:r w:rsidRPr="00ED40B0">
        <w:rPr>
          <w:rFonts w:ascii="Times New Roman" w:hAnsi="Times New Roman" w:cs="Times New Roman"/>
          <w:sz w:val="20"/>
          <w:szCs w:val="20"/>
          <w:lang w:val="fr-FR"/>
        </w:rPr>
        <w:t>ont proposé un cadre de suivi des progrès nationaux et mondiaux</w:t>
      </w:r>
      <w:r w:rsidR="00A92645" w:rsidRPr="00ED40B0">
        <w:rPr>
          <w:rFonts w:ascii="Times New Roman" w:hAnsi="Times New Roman" w:cs="Times New Roman"/>
          <w:sz w:val="20"/>
          <w:szCs w:val="20"/>
          <w:lang w:val="fr-FR"/>
        </w:rPr>
        <w:t xml:space="preserve"> (2)</w:t>
      </w:r>
      <w:r w:rsidRPr="00ED40B0">
        <w:rPr>
          <w:rFonts w:ascii="Times New Roman" w:hAnsi="Times New Roman" w:cs="Times New Roman"/>
          <w:sz w:val="20"/>
          <w:szCs w:val="20"/>
          <w:lang w:val="fr-FR"/>
        </w:rPr>
        <w:t>. Ce cadre se fixe comme obj</w:t>
      </w:r>
      <w:r w:rsidR="000763AE" w:rsidRPr="00ED40B0">
        <w:rPr>
          <w:rFonts w:ascii="Times New Roman" w:hAnsi="Times New Roman" w:cs="Times New Roman"/>
          <w:sz w:val="20"/>
          <w:szCs w:val="20"/>
          <w:lang w:val="fr-FR"/>
        </w:rPr>
        <w:t xml:space="preserve">ectifs </w:t>
      </w:r>
      <w:r w:rsidRPr="00ED40B0">
        <w:rPr>
          <w:rFonts w:ascii="Times New Roman" w:hAnsi="Times New Roman" w:cs="Times New Roman"/>
          <w:sz w:val="20"/>
          <w:szCs w:val="20"/>
          <w:lang w:val="fr-FR"/>
        </w:rPr>
        <w:t xml:space="preserve"> </w:t>
      </w:r>
      <w:r w:rsidR="00F2232B" w:rsidRPr="00ED40B0">
        <w:rPr>
          <w:rFonts w:ascii="Times New Roman" w:hAnsi="Times New Roman" w:cs="Times New Roman"/>
          <w:sz w:val="20"/>
          <w:szCs w:val="20"/>
          <w:lang w:val="fr-FR"/>
        </w:rPr>
        <w:t>d’informer et de guider les discussions en matière de CUS ainsi que l’évaluation de la disponibilité globale et équitable des services de santé essentiels, d’une part, et de la couverture du risque financier lié à la santé, d’autre part.</w:t>
      </w:r>
    </w:p>
    <w:p w:rsidR="00913720" w:rsidRPr="00ED40B0" w:rsidRDefault="00F2232B" w:rsidP="00110CA6">
      <w:pPr>
        <w:spacing w:line="240" w:lineRule="auto"/>
        <w:jc w:val="both"/>
        <w:rPr>
          <w:rFonts w:ascii="Times New Roman" w:hAnsi="Times New Roman" w:cs="Times New Roman"/>
          <w:sz w:val="20"/>
          <w:szCs w:val="20"/>
          <w:lang w:val="fr-FR"/>
        </w:rPr>
      </w:pPr>
      <w:r w:rsidRPr="00ED40B0">
        <w:rPr>
          <w:rFonts w:ascii="Times New Roman" w:hAnsi="Times New Roman" w:cs="Times New Roman"/>
          <w:sz w:val="20"/>
          <w:szCs w:val="20"/>
          <w:lang w:val="fr-FR"/>
        </w:rPr>
        <w:t xml:space="preserve">Comme tous les autres pays, le Burkina Faso, un pays de l’Afrique de </w:t>
      </w:r>
      <w:r w:rsidR="00C1799B" w:rsidRPr="00ED40B0">
        <w:rPr>
          <w:rFonts w:ascii="Times New Roman" w:hAnsi="Times New Roman" w:cs="Times New Roman"/>
          <w:sz w:val="20"/>
          <w:szCs w:val="20"/>
          <w:lang w:val="fr-FR"/>
        </w:rPr>
        <w:t xml:space="preserve">l’Ouest qui compte 17 000 000 </w:t>
      </w:r>
      <w:r w:rsidRPr="00ED40B0">
        <w:rPr>
          <w:rFonts w:ascii="Times New Roman" w:hAnsi="Times New Roman" w:cs="Times New Roman"/>
          <w:sz w:val="20"/>
          <w:szCs w:val="20"/>
          <w:lang w:val="fr-FR"/>
        </w:rPr>
        <w:t>habitants pour une superficie de 250 000 Km² est engagé dans la réalisation de</w:t>
      </w:r>
      <w:r w:rsidR="00C1799B" w:rsidRPr="00ED40B0">
        <w:rPr>
          <w:rFonts w:ascii="Times New Roman" w:hAnsi="Times New Roman" w:cs="Times New Roman"/>
          <w:sz w:val="20"/>
          <w:szCs w:val="20"/>
          <w:lang w:val="fr-FR"/>
        </w:rPr>
        <w:t xml:space="preserve">s </w:t>
      </w:r>
      <w:r w:rsidRPr="00ED40B0">
        <w:rPr>
          <w:rFonts w:ascii="Times New Roman" w:hAnsi="Times New Roman" w:cs="Times New Roman"/>
          <w:sz w:val="20"/>
          <w:szCs w:val="20"/>
          <w:lang w:val="fr-FR"/>
        </w:rPr>
        <w:t xml:space="preserve">ODD. </w:t>
      </w:r>
      <w:r w:rsidR="00C1799B" w:rsidRPr="00ED40B0">
        <w:rPr>
          <w:rFonts w:ascii="Times New Roman" w:hAnsi="Times New Roman" w:cs="Times New Roman"/>
          <w:sz w:val="20"/>
          <w:szCs w:val="20"/>
          <w:lang w:val="fr-FR"/>
        </w:rPr>
        <w:t xml:space="preserve">Ces derniers </w:t>
      </w:r>
      <w:r w:rsidRPr="00ED40B0">
        <w:rPr>
          <w:rFonts w:ascii="Times New Roman" w:hAnsi="Times New Roman" w:cs="Times New Roman"/>
          <w:sz w:val="20"/>
          <w:szCs w:val="20"/>
          <w:lang w:val="fr-FR"/>
        </w:rPr>
        <w:t xml:space="preserve">ayant pris cours officiellement en janvier 2016, il devient donc important pour le pays d’établir </w:t>
      </w:r>
      <w:r w:rsidRPr="00ED40B0">
        <w:rPr>
          <w:rFonts w:ascii="Times New Roman" w:hAnsi="Times New Roman" w:cs="Times New Roman"/>
          <w:b/>
          <w:i/>
          <w:sz w:val="20"/>
          <w:szCs w:val="20"/>
          <w:lang w:val="fr-FR"/>
        </w:rPr>
        <w:t xml:space="preserve">les </w:t>
      </w:r>
      <w:proofErr w:type="spellStart"/>
      <w:r w:rsidRPr="00ED40B0">
        <w:rPr>
          <w:rFonts w:ascii="Times New Roman" w:hAnsi="Times New Roman" w:cs="Times New Roman"/>
          <w:b/>
          <w:i/>
          <w:sz w:val="20"/>
          <w:szCs w:val="20"/>
          <w:lang w:val="fr-FR"/>
        </w:rPr>
        <w:t>beselines</w:t>
      </w:r>
      <w:proofErr w:type="spellEnd"/>
      <w:r w:rsidRPr="00ED40B0">
        <w:rPr>
          <w:rFonts w:ascii="Times New Roman" w:hAnsi="Times New Roman" w:cs="Times New Roman"/>
          <w:b/>
          <w:i/>
          <w:sz w:val="20"/>
          <w:szCs w:val="20"/>
          <w:lang w:val="fr-FR"/>
        </w:rPr>
        <w:t xml:space="preserve"> de la CUS</w:t>
      </w:r>
      <w:r w:rsidRPr="00ED40B0">
        <w:rPr>
          <w:rFonts w:ascii="Times New Roman" w:hAnsi="Times New Roman" w:cs="Times New Roman"/>
          <w:sz w:val="20"/>
          <w:szCs w:val="20"/>
          <w:lang w:val="fr-FR"/>
        </w:rPr>
        <w:t xml:space="preserve"> pour un meilleur suivi des progrès. </w:t>
      </w:r>
    </w:p>
    <w:p w:rsidR="00392086" w:rsidRPr="00ED40B0" w:rsidRDefault="00A20469" w:rsidP="00D925BF">
      <w:pPr>
        <w:pStyle w:val="Paragraphedeliste"/>
        <w:numPr>
          <w:ilvl w:val="0"/>
          <w:numId w:val="1"/>
        </w:numPr>
        <w:spacing w:line="240" w:lineRule="auto"/>
        <w:rPr>
          <w:rFonts w:ascii="Tahoma" w:hAnsi="Tahoma" w:cs="Tahoma"/>
          <w:b/>
          <w:sz w:val="20"/>
          <w:szCs w:val="20"/>
        </w:rPr>
      </w:pPr>
      <w:r w:rsidRPr="00ED40B0">
        <w:rPr>
          <w:rFonts w:ascii="Tahoma" w:hAnsi="Tahoma" w:cs="Tahoma"/>
          <w:b/>
          <w:sz w:val="20"/>
          <w:szCs w:val="20"/>
        </w:rPr>
        <w:t>Matériels et m</w:t>
      </w:r>
      <w:r w:rsidR="00392086" w:rsidRPr="00ED40B0">
        <w:rPr>
          <w:rFonts w:ascii="Tahoma" w:hAnsi="Tahoma" w:cs="Tahoma"/>
          <w:b/>
          <w:sz w:val="20"/>
          <w:szCs w:val="20"/>
        </w:rPr>
        <w:t>éthodes</w:t>
      </w:r>
    </w:p>
    <w:p w:rsidR="00E3617B" w:rsidRPr="00ED40B0" w:rsidRDefault="0054391E" w:rsidP="009762F8">
      <w:pPr>
        <w:spacing w:line="240" w:lineRule="auto"/>
        <w:jc w:val="both"/>
        <w:rPr>
          <w:rFonts w:ascii="Times New Roman" w:hAnsi="Times New Roman" w:cs="Times New Roman"/>
          <w:sz w:val="20"/>
          <w:szCs w:val="20"/>
          <w:lang w:val="fr-FR"/>
        </w:rPr>
      </w:pPr>
      <w:r w:rsidRPr="00ED40B0">
        <w:rPr>
          <w:rFonts w:ascii="Times New Roman" w:hAnsi="Times New Roman" w:cs="Times New Roman"/>
          <w:sz w:val="20"/>
          <w:szCs w:val="20"/>
          <w:lang w:val="fr-FR"/>
        </w:rPr>
        <w:t xml:space="preserve">La méthode utilisée pour établir les </w:t>
      </w:r>
      <w:proofErr w:type="spellStart"/>
      <w:r w:rsidRPr="00ED40B0">
        <w:rPr>
          <w:rFonts w:ascii="Times New Roman" w:hAnsi="Times New Roman" w:cs="Times New Roman"/>
          <w:sz w:val="20"/>
          <w:szCs w:val="20"/>
          <w:lang w:val="fr-FR"/>
        </w:rPr>
        <w:t>beselines</w:t>
      </w:r>
      <w:proofErr w:type="spellEnd"/>
      <w:r w:rsidRPr="00ED40B0">
        <w:rPr>
          <w:rFonts w:ascii="Times New Roman" w:hAnsi="Times New Roman" w:cs="Times New Roman"/>
          <w:sz w:val="20"/>
          <w:szCs w:val="20"/>
          <w:lang w:val="fr-FR"/>
        </w:rPr>
        <w:t xml:space="preserve"> de la CSU au Burkina Faso a consisté essentiellement en re</w:t>
      </w:r>
      <w:r w:rsidR="009762F8" w:rsidRPr="00ED40B0">
        <w:rPr>
          <w:rFonts w:ascii="Times New Roman" w:hAnsi="Times New Roman" w:cs="Times New Roman"/>
          <w:sz w:val="20"/>
          <w:szCs w:val="20"/>
          <w:lang w:val="fr-FR"/>
        </w:rPr>
        <w:t xml:space="preserve">vue documentaire et des entretiens semi structurés avec </w:t>
      </w:r>
      <w:r w:rsidRPr="00ED40B0">
        <w:rPr>
          <w:rFonts w:ascii="Times New Roman" w:hAnsi="Times New Roman" w:cs="Times New Roman"/>
          <w:sz w:val="20"/>
          <w:szCs w:val="20"/>
          <w:lang w:val="fr-FR"/>
        </w:rPr>
        <w:t>un certains nombres d’informateurs-clés</w:t>
      </w:r>
      <w:r w:rsidR="009762F8" w:rsidRPr="00ED40B0">
        <w:rPr>
          <w:rFonts w:ascii="Times New Roman" w:hAnsi="Times New Roman" w:cs="Times New Roman"/>
          <w:sz w:val="20"/>
          <w:szCs w:val="20"/>
          <w:lang w:val="fr-FR"/>
        </w:rPr>
        <w:t xml:space="preserve">. La revue documentaire a porté sur des rapports, articles, livres…publiés et non publiés. Les sites internet officiels du Gouvernement Burkinabè, des institutions ministérielles, internationales  et privées (INSD, OMS, UNICEF…) et le site « Observatoire Africain de Santé »  qui est spécialisé dans le financement Africain de la santé ont permis de collecter les documents accessibles en ligne. </w:t>
      </w:r>
      <w:r w:rsidR="005700C5" w:rsidRPr="00ED40B0">
        <w:rPr>
          <w:rFonts w:ascii="Times New Roman" w:hAnsi="Times New Roman" w:cs="Times New Roman"/>
          <w:sz w:val="20"/>
          <w:szCs w:val="20"/>
          <w:lang w:val="fr-FR"/>
        </w:rPr>
        <w:t xml:space="preserve">En plus, </w:t>
      </w:r>
      <w:r w:rsidR="009762F8" w:rsidRPr="00ED40B0">
        <w:rPr>
          <w:rFonts w:ascii="Times New Roman" w:hAnsi="Times New Roman" w:cs="Times New Roman"/>
          <w:sz w:val="20"/>
          <w:szCs w:val="20"/>
          <w:lang w:val="fr-FR"/>
        </w:rPr>
        <w:t xml:space="preserve">des documents non publiés, principalement les rapports de suivi et les documents de politique ou de stratégie ont été obtenus directement </w:t>
      </w:r>
      <w:r w:rsidR="00833E10" w:rsidRPr="00ED40B0">
        <w:rPr>
          <w:rFonts w:ascii="Times New Roman" w:hAnsi="Times New Roman" w:cs="Times New Roman"/>
          <w:sz w:val="20"/>
          <w:szCs w:val="20"/>
          <w:lang w:val="fr-FR"/>
        </w:rPr>
        <w:t xml:space="preserve">auprès </w:t>
      </w:r>
      <w:r w:rsidR="00E3617B" w:rsidRPr="00ED40B0">
        <w:rPr>
          <w:rFonts w:ascii="Times New Roman" w:hAnsi="Times New Roman" w:cs="Times New Roman"/>
          <w:sz w:val="20"/>
          <w:szCs w:val="20"/>
          <w:lang w:val="fr-FR"/>
        </w:rPr>
        <w:t>des personnes ressources.</w:t>
      </w:r>
    </w:p>
    <w:p w:rsidR="00E77A6A" w:rsidRPr="00ED40B0" w:rsidRDefault="00D925BF" w:rsidP="009762F8">
      <w:pPr>
        <w:spacing w:line="240" w:lineRule="auto"/>
        <w:jc w:val="both"/>
        <w:rPr>
          <w:rFonts w:ascii="Times New Roman" w:hAnsi="Times New Roman" w:cs="Times New Roman"/>
          <w:sz w:val="20"/>
          <w:szCs w:val="20"/>
          <w:lang w:val="fr-FR"/>
        </w:rPr>
      </w:pPr>
      <w:r w:rsidRPr="00ED40B0">
        <w:rPr>
          <w:rFonts w:ascii="Times New Roman" w:hAnsi="Times New Roman" w:cs="Times New Roman"/>
          <w:sz w:val="20"/>
          <w:szCs w:val="20"/>
          <w:lang w:val="fr-FR"/>
        </w:rPr>
        <w:t>Les princip</w:t>
      </w:r>
      <w:r w:rsidR="00BA20D7" w:rsidRPr="00ED40B0">
        <w:rPr>
          <w:rFonts w:ascii="Times New Roman" w:hAnsi="Times New Roman" w:cs="Times New Roman"/>
          <w:sz w:val="20"/>
          <w:szCs w:val="20"/>
          <w:lang w:val="fr-FR"/>
        </w:rPr>
        <w:t xml:space="preserve">ales variables utilisées sont : </w:t>
      </w:r>
      <w:r w:rsidRPr="00ED40B0">
        <w:rPr>
          <w:rFonts w:ascii="Times New Roman" w:hAnsi="Times New Roman" w:cs="Times New Roman"/>
          <w:sz w:val="20"/>
          <w:szCs w:val="20"/>
          <w:lang w:val="fr-FR"/>
        </w:rPr>
        <w:t xml:space="preserve">la couverture des services de santé (traitement et préventif), </w:t>
      </w:r>
      <w:r w:rsidR="00B85517" w:rsidRPr="00ED40B0">
        <w:rPr>
          <w:rFonts w:ascii="Times New Roman" w:hAnsi="Times New Roman" w:cs="Times New Roman"/>
          <w:sz w:val="20"/>
          <w:szCs w:val="20"/>
          <w:lang w:val="fr-FR"/>
        </w:rPr>
        <w:t xml:space="preserve">la part des dépenses directes dans les dépenses </w:t>
      </w:r>
      <w:r w:rsidR="00BA20D7" w:rsidRPr="00ED40B0">
        <w:rPr>
          <w:rFonts w:ascii="Times New Roman" w:hAnsi="Times New Roman" w:cs="Times New Roman"/>
          <w:sz w:val="20"/>
          <w:szCs w:val="20"/>
          <w:lang w:val="fr-FR"/>
        </w:rPr>
        <w:t xml:space="preserve">courantes </w:t>
      </w:r>
      <w:r w:rsidR="00B85517" w:rsidRPr="00ED40B0">
        <w:rPr>
          <w:rFonts w:ascii="Times New Roman" w:hAnsi="Times New Roman" w:cs="Times New Roman"/>
          <w:sz w:val="20"/>
          <w:szCs w:val="20"/>
          <w:lang w:val="fr-FR"/>
        </w:rPr>
        <w:t xml:space="preserve">de santé, </w:t>
      </w:r>
      <w:r w:rsidRPr="00ED40B0">
        <w:rPr>
          <w:rFonts w:ascii="Times New Roman" w:hAnsi="Times New Roman" w:cs="Times New Roman"/>
          <w:sz w:val="20"/>
          <w:szCs w:val="20"/>
          <w:lang w:val="fr-FR"/>
        </w:rPr>
        <w:t xml:space="preserve">le taux des dépenses catastrophiques des ménages, le taux d’appauvrissement et l’index de la CUS. </w:t>
      </w:r>
      <w:r w:rsidR="009762F8" w:rsidRPr="00ED40B0">
        <w:rPr>
          <w:rFonts w:ascii="Times New Roman" w:hAnsi="Times New Roman" w:cs="Times New Roman"/>
          <w:sz w:val="20"/>
          <w:szCs w:val="20"/>
          <w:lang w:val="fr-FR"/>
        </w:rPr>
        <w:t>Les indicateurs en rapport avec la couverture des services de santé et la couverture du risque maladie ont été choisis en tenant compte des orientations du document intitulé « La cou</w:t>
      </w:r>
      <w:r w:rsidRPr="00ED40B0">
        <w:rPr>
          <w:rFonts w:ascii="Times New Roman" w:hAnsi="Times New Roman" w:cs="Times New Roman"/>
          <w:sz w:val="20"/>
          <w:szCs w:val="20"/>
          <w:lang w:val="fr-FR"/>
        </w:rPr>
        <w:t xml:space="preserve">verture sanitaire universelle : </w:t>
      </w:r>
      <w:r w:rsidR="009762F8" w:rsidRPr="00ED40B0">
        <w:rPr>
          <w:rFonts w:ascii="Times New Roman" w:hAnsi="Times New Roman" w:cs="Times New Roman"/>
          <w:sz w:val="20"/>
          <w:szCs w:val="20"/>
          <w:lang w:val="fr-FR"/>
        </w:rPr>
        <w:t xml:space="preserve">suivi des progrès à l’échelon national et mondial » de l’OMS et du groupe de la </w:t>
      </w:r>
      <w:r w:rsidR="00B564B0" w:rsidRPr="00ED40B0">
        <w:rPr>
          <w:rFonts w:ascii="Times New Roman" w:hAnsi="Times New Roman" w:cs="Times New Roman"/>
          <w:sz w:val="20"/>
          <w:szCs w:val="20"/>
          <w:lang w:val="fr-FR"/>
        </w:rPr>
        <w:t>BM</w:t>
      </w:r>
      <w:r w:rsidR="00752579" w:rsidRPr="00ED40B0">
        <w:rPr>
          <w:rFonts w:ascii="Times New Roman" w:hAnsi="Times New Roman" w:cs="Times New Roman"/>
          <w:sz w:val="20"/>
          <w:szCs w:val="20"/>
          <w:lang w:val="fr-FR"/>
        </w:rPr>
        <w:t xml:space="preserve"> (1)</w:t>
      </w:r>
      <w:r w:rsidRPr="00ED40B0">
        <w:rPr>
          <w:rFonts w:ascii="Times New Roman" w:hAnsi="Times New Roman" w:cs="Times New Roman"/>
          <w:sz w:val="20"/>
          <w:szCs w:val="20"/>
          <w:lang w:val="fr-FR"/>
        </w:rPr>
        <w:t xml:space="preserve">. </w:t>
      </w:r>
      <w:r w:rsidR="009762F8" w:rsidRPr="00ED40B0">
        <w:rPr>
          <w:rFonts w:ascii="Times New Roman" w:hAnsi="Times New Roman" w:cs="Times New Roman"/>
          <w:sz w:val="20"/>
          <w:szCs w:val="20"/>
          <w:lang w:val="fr-FR"/>
        </w:rPr>
        <w:t>Pour déterminer la valeur numérique de certains indicateurs, des calculs complémentaires ont été réalisés à l'aide d'un tableur Excel sur la base d'une combinaison des données brutes disponibles dans les rapports officiels. Les figures ont été égalemen</w:t>
      </w:r>
      <w:r w:rsidR="00B564B0" w:rsidRPr="00ED40B0">
        <w:rPr>
          <w:rFonts w:ascii="Times New Roman" w:hAnsi="Times New Roman" w:cs="Times New Roman"/>
          <w:sz w:val="20"/>
          <w:szCs w:val="20"/>
          <w:lang w:val="fr-FR"/>
        </w:rPr>
        <w:t xml:space="preserve">t construites dans ce tableur. </w:t>
      </w:r>
    </w:p>
    <w:p w:rsidR="00392086" w:rsidRPr="00ED40B0" w:rsidRDefault="00D925BF" w:rsidP="009762F8">
      <w:pPr>
        <w:spacing w:line="240" w:lineRule="auto"/>
        <w:jc w:val="both"/>
        <w:rPr>
          <w:rFonts w:ascii="Times New Roman" w:hAnsi="Times New Roman" w:cs="Times New Roman"/>
          <w:sz w:val="20"/>
          <w:szCs w:val="20"/>
          <w:lang w:val="fr-FR"/>
        </w:rPr>
      </w:pPr>
      <w:r w:rsidRPr="00ED40B0">
        <w:rPr>
          <w:rFonts w:ascii="Times New Roman" w:hAnsi="Times New Roman" w:cs="Times New Roman"/>
          <w:sz w:val="20"/>
          <w:szCs w:val="20"/>
          <w:lang w:val="fr-FR"/>
        </w:rPr>
        <w:t xml:space="preserve">L’index de la CUS a été calculé selon la méthode </w:t>
      </w:r>
      <w:proofErr w:type="gramStart"/>
      <w:r w:rsidRPr="00ED40B0">
        <w:rPr>
          <w:rFonts w:ascii="Times New Roman" w:hAnsi="Times New Roman" w:cs="Times New Roman"/>
          <w:sz w:val="20"/>
          <w:szCs w:val="20"/>
          <w:lang w:val="fr-FR"/>
        </w:rPr>
        <w:t xml:space="preserve">de </w:t>
      </w:r>
      <w:r w:rsidR="00503E3E" w:rsidRPr="00ED40B0">
        <w:rPr>
          <w:rFonts w:ascii="Times New Roman" w:hAnsi="Times New Roman" w:cs="Times New Roman"/>
          <w:sz w:val="20"/>
          <w:szCs w:val="20"/>
          <w:lang w:val="fr-FR"/>
        </w:rPr>
        <w:t>A</w:t>
      </w:r>
      <w:proofErr w:type="gramEnd"/>
      <w:r w:rsidR="00503E3E" w:rsidRPr="00ED40B0">
        <w:rPr>
          <w:rFonts w:ascii="Times New Roman" w:hAnsi="Times New Roman" w:cs="Times New Roman"/>
          <w:sz w:val="20"/>
          <w:szCs w:val="20"/>
          <w:lang w:val="fr-FR"/>
        </w:rPr>
        <w:t xml:space="preserve">. </w:t>
      </w:r>
      <w:proofErr w:type="spellStart"/>
      <w:r w:rsidR="00B564B0" w:rsidRPr="00ED40B0">
        <w:rPr>
          <w:rFonts w:ascii="Times New Roman" w:hAnsi="Times New Roman" w:cs="Times New Roman"/>
          <w:sz w:val="20"/>
          <w:szCs w:val="20"/>
          <w:lang w:val="fr-FR"/>
        </w:rPr>
        <w:t>Wagstaff</w:t>
      </w:r>
      <w:proofErr w:type="spellEnd"/>
      <w:r w:rsidR="00B564B0" w:rsidRPr="00ED40B0">
        <w:rPr>
          <w:rFonts w:ascii="Times New Roman" w:hAnsi="Times New Roman" w:cs="Times New Roman"/>
          <w:sz w:val="20"/>
          <w:szCs w:val="20"/>
          <w:lang w:val="fr-FR"/>
        </w:rPr>
        <w:t xml:space="preserve"> et sa représentation a été faite sur la courbe de Cobb et Douglas. </w:t>
      </w:r>
    </w:p>
    <w:p w:rsidR="00D925BF" w:rsidRPr="00ED40B0" w:rsidRDefault="00D925BF" w:rsidP="00D925BF">
      <w:pPr>
        <w:pStyle w:val="Paragraphedeliste"/>
        <w:numPr>
          <w:ilvl w:val="0"/>
          <w:numId w:val="1"/>
        </w:numPr>
        <w:spacing w:line="240" w:lineRule="auto"/>
        <w:rPr>
          <w:rFonts w:ascii="Tahoma" w:hAnsi="Tahoma" w:cs="Tahoma"/>
          <w:b/>
          <w:sz w:val="20"/>
          <w:szCs w:val="20"/>
        </w:rPr>
      </w:pPr>
      <w:r w:rsidRPr="00ED40B0">
        <w:rPr>
          <w:rFonts w:ascii="Tahoma" w:hAnsi="Tahoma" w:cs="Tahoma"/>
          <w:b/>
          <w:sz w:val="20"/>
          <w:szCs w:val="20"/>
        </w:rPr>
        <w:t xml:space="preserve">Résultats </w:t>
      </w:r>
      <w:r w:rsidR="00B564B0" w:rsidRPr="00ED40B0">
        <w:rPr>
          <w:rFonts w:ascii="Tahoma" w:hAnsi="Tahoma" w:cs="Tahoma"/>
          <w:b/>
          <w:sz w:val="20"/>
          <w:szCs w:val="20"/>
        </w:rPr>
        <w:t>de l’étude</w:t>
      </w:r>
    </w:p>
    <w:p w:rsidR="00B85517" w:rsidRPr="00ED40B0" w:rsidRDefault="00B85517" w:rsidP="00B85517">
      <w:pPr>
        <w:pStyle w:val="Paragraphedeliste"/>
        <w:spacing w:line="240" w:lineRule="auto"/>
        <w:rPr>
          <w:rFonts w:ascii="Times New Roman" w:hAnsi="Times New Roman" w:cs="Times New Roman"/>
          <w:b/>
          <w:sz w:val="20"/>
          <w:szCs w:val="20"/>
        </w:rPr>
      </w:pPr>
    </w:p>
    <w:p w:rsidR="00B85517" w:rsidRPr="00ED40B0" w:rsidRDefault="00B85517" w:rsidP="00B85517">
      <w:pPr>
        <w:pStyle w:val="Paragraphedeliste"/>
        <w:numPr>
          <w:ilvl w:val="1"/>
          <w:numId w:val="1"/>
        </w:numPr>
        <w:spacing w:line="240" w:lineRule="auto"/>
        <w:rPr>
          <w:rFonts w:ascii="Times New Roman" w:hAnsi="Times New Roman" w:cs="Times New Roman"/>
          <w:b/>
          <w:sz w:val="20"/>
          <w:szCs w:val="20"/>
        </w:rPr>
      </w:pPr>
      <w:r w:rsidRPr="00ED40B0">
        <w:rPr>
          <w:rFonts w:ascii="Times New Roman" w:hAnsi="Times New Roman" w:cs="Times New Roman"/>
          <w:b/>
          <w:sz w:val="20"/>
          <w:szCs w:val="20"/>
        </w:rPr>
        <w:t>Couvertures des services de santé</w:t>
      </w:r>
    </w:p>
    <w:p w:rsidR="00E60ABC" w:rsidRDefault="00E60ABC" w:rsidP="00E60ABC">
      <w:pPr>
        <w:spacing w:line="240" w:lineRule="auto"/>
        <w:jc w:val="both"/>
        <w:rPr>
          <w:rFonts w:ascii="Times New Roman" w:hAnsi="Times New Roman" w:cs="Times New Roman"/>
          <w:sz w:val="20"/>
          <w:szCs w:val="20"/>
        </w:rPr>
      </w:pPr>
      <w:r w:rsidRPr="00ED40B0">
        <w:rPr>
          <w:rFonts w:ascii="Times New Roman" w:hAnsi="Times New Roman" w:cs="Times New Roman"/>
          <w:sz w:val="20"/>
          <w:szCs w:val="20"/>
        </w:rPr>
        <w:lastRenderedPageBreak/>
        <w:t>Pour l’accès aux soins, les 12</w:t>
      </w:r>
      <w:r w:rsidRPr="00ED40B0">
        <w:rPr>
          <w:rStyle w:val="Appelnotedebasdep"/>
          <w:rFonts w:ascii="Times New Roman" w:hAnsi="Times New Roman" w:cs="Times New Roman"/>
          <w:sz w:val="20"/>
          <w:szCs w:val="20"/>
        </w:rPr>
        <w:footnoteReference w:id="1"/>
      </w:r>
      <w:r w:rsidRPr="00ED40B0">
        <w:rPr>
          <w:rFonts w:ascii="Times New Roman" w:hAnsi="Times New Roman" w:cs="Times New Roman"/>
          <w:sz w:val="20"/>
          <w:szCs w:val="20"/>
        </w:rPr>
        <w:t xml:space="preserve"> indicateurs proposés par l’OMS ont été utilisés </w:t>
      </w:r>
      <w:r w:rsidR="001D0BC0" w:rsidRPr="00ED40B0">
        <w:rPr>
          <w:rFonts w:ascii="Times New Roman" w:hAnsi="Times New Roman" w:cs="Times New Roman"/>
          <w:sz w:val="20"/>
          <w:szCs w:val="20"/>
        </w:rPr>
        <w:t xml:space="preserve">(1). </w:t>
      </w:r>
      <w:r w:rsidRPr="00ED40B0">
        <w:rPr>
          <w:rFonts w:ascii="Times New Roman" w:hAnsi="Times New Roman" w:cs="Times New Roman"/>
          <w:sz w:val="20"/>
          <w:szCs w:val="20"/>
        </w:rPr>
        <w:t xml:space="preserve">Il s’agit des indicateurs repris dans le tableau suivant : </w:t>
      </w:r>
    </w:p>
    <w:p w:rsidR="00B62208" w:rsidRDefault="00B62208" w:rsidP="00E60ABC">
      <w:pPr>
        <w:spacing w:line="240" w:lineRule="auto"/>
        <w:jc w:val="both"/>
        <w:rPr>
          <w:rFonts w:ascii="Times New Roman" w:hAnsi="Times New Roman" w:cs="Times New Roman"/>
          <w:sz w:val="20"/>
          <w:szCs w:val="20"/>
        </w:rPr>
      </w:pPr>
      <w:r>
        <w:rPr>
          <w:rFonts w:ascii="Times New Roman" w:hAnsi="Times New Roman" w:cs="Times New Roman"/>
          <w:sz w:val="20"/>
          <w:szCs w:val="20"/>
        </w:rPr>
        <w:t>Pour les soins préventifs :</w:t>
      </w:r>
    </w:p>
    <w:p w:rsidR="00B62208" w:rsidRDefault="00B62208" w:rsidP="00B62208">
      <w:pPr>
        <w:pStyle w:val="Paragraphedeliste"/>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Les besoins non satisfaits en planification familiale</w:t>
      </w:r>
    </w:p>
    <w:p w:rsidR="00B62208" w:rsidRDefault="00B62208" w:rsidP="00B62208">
      <w:pPr>
        <w:pStyle w:val="Paragraphedeliste"/>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Le taux de couverture des CPN4</w:t>
      </w:r>
    </w:p>
    <w:p w:rsidR="00B62208" w:rsidRDefault="00B62208" w:rsidP="00B62208">
      <w:pPr>
        <w:pStyle w:val="Paragraphedeliste"/>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Le taux de couverture des enfants vaccinés contre la rougeole</w:t>
      </w:r>
    </w:p>
    <w:p w:rsidR="00B62208" w:rsidRDefault="00B62208" w:rsidP="00B62208">
      <w:pPr>
        <w:pStyle w:val="Paragraphedeliste"/>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Le taux d’accès à l’</w:t>
      </w:r>
      <w:proofErr w:type="spellStart"/>
      <w:r>
        <w:rPr>
          <w:rFonts w:ascii="Times New Roman" w:hAnsi="Times New Roman" w:cs="Times New Roman"/>
          <w:sz w:val="20"/>
          <w:szCs w:val="20"/>
        </w:rPr>
        <w:t>au</w:t>
      </w:r>
      <w:proofErr w:type="spellEnd"/>
      <w:r>
        <w:rPr>
          <w:rFonts w:ascii="Times New Roman" w:hAnsi="Times New Roman" w:cs="Times New Roman"/>
          <w:sz w:val="20"/>
          <w:szCs w:val="20"/>
        </w:rPr>
        <w:t xml:space="preserve"> potable</w:t>
      </w:r>
    </w:p>
    <w:p w:rsidR="00B62208" w:rsidRDefault="00B62208" w:rsidP="00B62208">
      <w:pPr>
        <w:pStyle w:val="Paragraphedeliste"/>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Le taux d’accès à un assainissement satisfaisant</w:t>
      </w:r>
    </w:p>
    <w:p w:rsidR="00B62208" w:rsidRDefault="00B62208" w:rsidP="00B62208">
      <w:pPr>
        <w:pStyle w:val="Paragraphedeliste"/>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La proportion des non-fumeurs</w:t>
      </w:r>
    </w:p>
    <w:p w:rsidR="00B62208" w:rsidRDefault="00B62208" w:rsidP="00B62208">
      <w:pPr>
        <w:spacing w:line="240" w:lineRule="auto"/>
        <w:jc w:val="both"/>
        <w:rPr>
          <w:rFonts w:ascii="Times New Roman" w:hAnsi="Times New Roman" w:cs="Times New Roman"/>
          <w:sz w:val="20"/>
          <w:szCs w:val="20"/>
        </w:rPr>
      </w:pPr>
      <w:r>
        <w:rPr>
          <w:rFonts w:ascii="Times New Roman" w:hAnsi="Times New Roman" w:cs="Times New Roman"/>
          <w:sz w:val="20"/>
          <w:szCs w:val="20"/>
        </w:rPr>
        <w:t>Pour les soins de traitement</w:t>
      </w:r>
    </w:p>
    <w:p w:rsidR="00B62208" w:rsidRDefault="00B62208" w:rsidP="00B62208">
      <w:pPr>
        <w:pStyle w:val="Paragraphedeliste"/>
        <w:numPr>
          <w:ilvl w:val="0"/>
          <w:numId w:val="8"/>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Le taux d’accouchement </w:t>
      </w:r>
    </w:p>
    <w:p w:rsidR="00B62208" w:rsidRDefault="00B62208" w:rsidP="00B62208">
      <w:pPr>
        <w:pStyle w:val="Paragraphedeliste"/>
        <w:numPr>
          <w:ilvl w:val="0"/>
          <w:numId w:val="8"/>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Proportion des </w:t>
      </w:r>
      <w:proofErr w:type="spellStart"/>
      <w:r>
        <w:rPr>
          <w:rFonts w:ascii="Times New Roman" w:hAnsi="Times New Roman" w:cs="Times New Roman"/>
          <w:sz w:val="20"/>
          <w:szCs w:val="20"/>
        </w:rPr>
        <w:t>PvVIH</w:t>
      </w:r>
      <w:proofErr w:type="spellEnd"/>
      <w:r>
        <w:rPr>
          <w:rFonts w:ascii="Times New Roman" w:hAnsi="Times New Roman" w:cs="Times New Roman"/>
          <w:sz w:val="20"/>
          <w:szCs w:val="20"/>
        </w:rPr>
        <w:t xml:space="preserve"> sous ARV</w:t>
      </w:r>
    </w:p>
    <w:p w:rsidR="00B62208" w:rsidRDefault="00B62208" w:rsidP="00B62208">
      <w:pPr>
        <w:pStyle w:val="Paragraphedeliste"/>
        <w:numPr>
          <w:ilvl w:val="0"/>
          <w:numId w:val="8"/>
        </w:numPr>
        <w:spacing w:line="240" w:lineRule="auto"/>
        <w:jc w:val="both"/>
        <w:rPr>
          <w:rFonts w:ascii="Times New Roman" w:hAnsi="Times New Roman" w:cs="Times New Roman"/>
          <w:sz w:val="20"/>
          <w:szCs w:val="20"/>
        </w:rPr>
      </w:pPr>
      <w:r>
        <w:rPr>
          <w:rFonts w:ascii="Times New Roman" w:hAnsi="Times New Roman" w:cs="Times New Roman"/>
          <w:sz w:val="20"/>
          <w:szCs w:val="20"/>
        </w:rPr>
        <w:t>Te taux de détection de la TB</w:t>
      </w:r>
    </w:p>
    <w:p w:rsidR="00B62208" w:rsidRDefault="00B62208" w:rsidP="00B62208">
      <w:pPr>
        <w:pStyle w:val="Paragraphedeliste"/>
        <w:numPr>
          <w:ilvl w:val="0"/>
          <w:numId w:val="8"/>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Taux de guérison de la TB </w:t>
      </w:r>
    </w:p>
    <w:p w:rsidR="00B62208" w:rsidRDefault="00B62208" w:rsidP="00B62208">
      <w:pPr>
        <w:pStyle w:val="Paragraphedeliste"/>
        <w:numPr>
          <w:ilvl w:val="0"/>
          <w:numId w:val="8"/>
        </w:numPr>
        <w:spacing w:line="240" w:lineRule="auto"/>
        <w:jc w:val="both"/>
        <w:rPr>
          <w:rFonts w:ascii="Times New Roman" w:hAnsi="Times New Roman" w:cs="Times New Roman"/>
          <w:sz w:val="20"/>
          <w:szCs w:val="20"/>
        </w:rPr>
      </w:pPr>
      <w:r>
        <w:rPr>
          <w:rFonts w:ascii="Times New Roman" w:hAnsi="Times New Roman" w:cs="Times New Roman"/>
          <w:sz w:val="20"/>
          <w:szCs w:val="20"/>
        </w:rPr>
        <w:t>Proportion des hypertendus sous traitement anti-HTA</w:t>
      </w:r>
    </w:p>
    <w:p w:rsidR="00B62208" w:rsidRPr="007B66F2" w:rsidRDefault="00B62208" w:rsidP="007B66F2">
      <w:pPr>
        <w:pStyle w:val="Paragraphedeliste"/>
        <w:numPr>
          <w:ilvl w:val="0"/>
          <w:numId w:val="8"/>
        </w:numPr>
        <w:spacing w:line="240" w:lineRule="auto"/>
        <w:jc w:val="both"/>
        <w:rPr>
          <w:rFonts w:ascii="Times New Roman" w:hAnsi="Times New Roman" w:cs="Times New Roman"/>
          <w:sz w:val="20"/>
          <w:szCs w:val="20"/>
        </w:rPr>
      </w:pPr>
      <w:r>
        <w:rPr>
          <w:rFonts w:ascii="Times New Roman" w:hAnsi="Times New Roman" w:cs="Times New Roman"/>
          <w:sz w:val="20"/>
          <w:szCs w:val="20"/>
        </w:rPr>
        <w:t>Portion des diabétiques sous traitement contre le diabète</w:t>
      </w:r>
      <w:bookmarkStart w:id="0" w:name="_GoBack"/>
      <w:bookmarkEnd w:id="0"/>
    </w:p>
    <w:p w:rsidR="00E60ABC" w:rsidRPr="00ED40B0" w:rsidRDefault="00E60ABC" w:rsidP="00E60ABC">
      <w:pPr>
        <w:spacing w:line="240" w:lineRule="auto"/>
        <w:jc w:val="both"/>
        <w:rPr>
          <w:rFonts w:ascii="Times New Roman" w:hAnsi="Times New Roman" w:cs="Times New Roman"/>
          <w:sz w:val="20"/>
          <w:szCs w:val="20"/>
        </w:rPr>
      </w:pPr>
      <w:r w:rsidRPr="00ED40B0">
        <w:rPr>
          <w:rFonts w:ascii="Times New Roman" w:hAnsi="Times New Roman" w:cs="Times New Roman"/>
          <w:sz w:val="20"/>
          <w:szCs w:val="20"/>
        </w:rPr>
        <w:t xml:space="preserve">Une moyenne globale a été calculée pour chaque groupe d’indicateurs. La moyenne globale a été pondérée pour les soins préventifs en attribuant un poids de 50% pour les deux indicateurs d’accès à l’eau et à l’assainissement et un poids de 50% pour les 4 autres indicateurs. Au niveau des soins de traitement, la moyenne n’a pas été pondérée car tous les indicateurs relèvent du même secteur d’activités à savoir le système de santé. </w:t>
      </w:r>
    </w:p>
    <w:p w:rsidR="008F46AC" w:rsidRPr="00B62208" w:rsidRDefault="00E60ABC" w:rsidP="00B62208">
      <w:pPr>
        <w:spacing w:line="240" w:lineRule="auto"/>
        <w:jc w:val="both"/>
        <w:rPr>
          <w:rFonts w:ascii="Times New Roman" w:hAnsi="Times New Roman" w:cs="Times New Roman"/>
          <w:sz w:val="20"/>
          <w:szCs w:val="20"/>
        </w:rPr>
      </w:pPr>
      <w:r w:rsidRPr="00ED40B0">
        <w:rPr>
          <w:rFonts w:ascii="Times New Roman" w:hAnsi="Times New Roman" w:cs="Times New Roman"/>
          <w:sz w:val="20"/>
          <w:szCs w:val="20"/>
        </w:rPr>
        <w:t xml:space="preserve">Pour les indicateurs des soins et des services de prévention, la moyenne globale est de </w:t>
      </w:r>
      <w:r w:rsidRPr="00ED40B0">
        <w:rPr>
          <w:rFonts w:ascii="Times New Roman" w:hAnsi="Times New Roman" w:cs="Times New Roman"/>
          <w:b/>
          <w:sz w:val="20"/>
          <w:szCs w:val="20"/>
        </w:rPr>
        <w:t>58,3%</w:t>
      </w:r>
      <w:r w:rsidRPr="00ED40B0">
        <w:rPr>
          <w:rFonts w:ascii="Times New Roman" w:hAnsi="Times New Roman" w:cs="Times New Roman"/>
          <w:sz w:val="20"/>
          <w:szCs w:val="20"/>
        </w:rPr>
        <w:t xml:space="preserve"> avec une disparité entre le milieu urbain </w:t>
      </w:r>
      <w:r w:rsidRPr="00ED40B0">
        <w:rPr>
          <w:rFonts w:ascii="Times New Roman" w:hAnsi="Times New Roman" w:cs="Times New Roman"/>
          <w:b/>
          <w:sz w:val="20"/>
          <w:szCs w:val="20"/>
        </w:rPr>
        <w:t>(79,0%)</w:t>
      </w:r>
      <w:r w:rsidRPr="00ED40B0">
        <w:rPr>
          <w:rFonts w:ascii="Times New Roman" w:hAnsi="Times New Roman" w:cs="Times New Roman"/>
          <w:sz w:val="20"/>
          <w:szCs w:val="20"/>
        </w:rPr>
        <w:t xml:space="preserve"> et le milieu rural </w:t>
      </w:r>
      <w:r w:rsidRPr="00ED40B0">
        <w:rPr>
          <w:rFonts w:ascii="Times New Roman" w:hAnsi="Times New Roman" w:cs="Times New Roman"/>
          <w:b/>
          <w:sz w:val="20"/>
          <w:szCs w:val="20"/>
        </w:rPr>
        <w:t>(52,7%)</w:t>
      </w:r>
      <w:r w:rsidRPr="00ED40B0">
        <w:rPr>
          <w:rFonts w:ascii="Times New Roman" w:hAnsi="Times New Roman" w:cs="Times New Roman"/>
          <w:sz w:val="20"/>
          <w:szCs w:val="20"/>
        </w:rPr>
        <w:t xml:space="preserve">. Au niveau des services de traitement, la moyenne globale est plus faible, </w:t>
      </w:r>
      <w:r w:rsidRPr="00ED40B0">
        <w:rPr>
          <w:rFonts w:ascii="Times New Roman" w:hAnsi="Times New Roman" w:cs="Times New Roman"/>
          <w:b/>
          <w:sz w:val="20"/>
          <w:szCs w:val="20"/>
        </w:rPr>
        <w:t>50%</w:t>
      </w:r>
      <w:r w:rsidRPr="00ED40B0">
        <w:rPr>
          <w:rFonts w:ascii="Times New Roman" w:hAnsi="Times New Roman" w:cs="Times New Roman"/>
          <w:sz w:val="20"/>
          <w:szCs w:val="20"/>
        </w:rPr>
        <w:t xml:space="preserve"> avec également un écart important entre le milieu urbain </w:t>
      </w:r>
      <w:r w:rsidRPr="00ED40B0">
        <w:rPr>
          <w:rFonts w:ascii="Times New Roman" w:hAnsi="Times New Roman" w:cs="Times New Roman"/>
          <w:b/>
          <w:sz w:val="20"/>
          <w:szCs w:val="20"/>
        </w:rPr>
        <w:t>(59,7%)</w:t>
      </w:r>
      <w:r w:rsidRPr="00ED40B0">
        <w:rPr>
          <w:rFonts w:ascii="Times New Roman" w:hAnsi="Times New Roman" w:cs="Times New Roman"/>
          <w:sz w:val="20"/>
          <w:szCs w:val="20"/>
        </w:rPr>
        <w:t xml:space="preserve"> et le milieu rural </w:t>
      </w:r>
      <w:r w:rsidRPr="00ED40B0">
        <w:rPr>
          <w:rFonts w:ascii="Times New Roman" w:hAnsi="Times New Roman" w:cs="Times New Roman"/>
          <w:b/>
          <w:sz w:val="20"/>
          <w:szCs w:val="20"/>
        </w:rPr>
        <w:t>(35,3%)</w:t>
      </w:r>
      <w:r w:rsidRPr="00ED40B0">
        <w:rPr>
          <w:rStyle w:val="Appelnotedebasdep"/>
          <w:rFonts w:ascii="Times New Roman" w:hAnsi="Times New Roman" w:cs="Times New Roman"/>
          <w:sz w:val="20"/>
          <w:szCs w:val="20"/>
        </w:rPr>
        <w:footnoteReference w:id="2"/>
      </w:r>
      <w:r w:rsidRPr="00ED40B0">
        <w:rPr>
          <w:rFonts w:ascii="Times New Roman" w:hAnsi="Times New Roman" w:cs="Times New Roman"/>
          <w:sz w:val="20"/>
          <w:szCs w:val="20"/>
        </w:rPr>
        <w:t xml:space="preserve">. La figure </w:t>
      </w:r>
      <w:r w:rsidR="00556ACE" w:rsidRPr="00ED40B0">
        <w:rPr>
          <w:rFonts w:ascii="Times New Roman" w:hAnsi="Times New Roman" w:cs="Times New Roman"/>
          <w:sz w:val="20"/>
          <w:szCs w:val="20"/>
        </w:rPr>
        <w:t>suivante</w:t>
      </w:r>
      <w:r w:rsidRPr="00ED40B0">
        <w:rPr>
          <w:rFonts w:ascii="Times New Roman" w:hAnsi="Times New Roman" w:cs="Times New Roman"/>
          <w:sz w:val="20"/>
          <w:szCs w:val="20"/>
        </w:rPr>
        <w:t xml:space="preserve"> montre que six indicateurs affichent un niveau inférieur à la moyenne globale. Il s’agit des besoins satisfaits en PF </w:t>
      </w:r>
      <w:r w:rsidRPr="00ED40B0">
        <w:rPr>
          <w:rFonts w:ascii="Times New Roman" w:hAnsi="Times New Roman" w:cs="Times New Roman"/>
          <w:b/>
          <w:sz w:val="20"/>
          <w:szCs w:val="20"/>
        </w:rPr>
        <w:t>(16,2%)</w:t>
      </w:r>
      <w:r w:rsidRPr="00ED40B0">
        <w:rPr>
          <w:rFonts w:ascii="Times New Roman" w:hAnsi="Times New Roman" w:cs="Times New Roman"/>
          <w:sz w:val="20"/>
          <w:szCs w:val="20"/>
        </w:rPr>
        <w:t xml:space="preserve">, de la couverture en CPN4 </w:t>
      </w:r>
      <w:r w:rsidRPr="00ED40B0">
        <w:rPr>
          <w:rFonts w:ascii="Times New Roman" w:hAnsi="Times New Roman" w:cs="Times New Roman"/>
          <w:b/>
          <w:sz w:val="20"/>
          <w:szCs w:val="20"/>
        </w:rPr>
        <w:t>(33,7%)</w:t>
      </w:r>
      <w:r w:rsidRPr="00ED40B0">
        <w:rPr>
          <w:rFonts w:ascii="Times New Roman" w:hAnsi="Times New Roman" w:cs="Times New Roman"/>
          <w:sz w:val="20"/>
          <w:szCs w:val="20"/>
        </w:rPr>
        <w:t xml:space="preserve">, de l’assainissement adéquat </w:t>
      </w:r>
      <w:r w:rsidRPr="00ED40B0">
        <w:rPr>
          <w:rFonts w:ascii="Times New Roman" w:hAnsi="Times New Roman" w:cs="Times New Roman"/>
          <w:b/>
          <w:sz w:val="20"/>
          <w:szCs w:val="20"/>
        </w:rPr>
        <w:t>(49,5%)</w:t>
      </w:r>
      <w:r w:rsidRPr="00ED40B0">
        <w:rPr>
          <w:rFonts w:ascii="Times New Roman" w:hAnsi="Times New Roman" w:cs="Times New Roman"/>
          <w:sz w:val="20"/>
          <w:szCs w:val="20"/>
        </w:rPr>
        <w:t xml:space="preserve">, du traitement contre l’HTA </w:t>
      </w:r>
      <w:r w:rsidRPr="00ED40B0">
        <w:rPr>
          <w:rFonts w:ascii="Times New Roman" w:hAnsi="Times New Roman" w:cs="Times New Roman"/>
          <w:b/>
          <w:sz w:val="20"/>
          <w:szCs w:val="20"/>
        </w:rPr>
        <w:t>(30,3%),</w:t>
      </w:r>
      <w:r w:rsidRPr="00ED40B0">
        <w:rPr>
          <w:rFonts w:ascii="Times New Roman" w:hAnsi="Times New Roman" w:cs="Times New Roman"/>
          <w:sz w:val="20"/>
          <w:szCs w:val="20"/>
        </w:rPr>
        <w:t xml:space="preserve"> contre le VIH </w:t>
      </w:r>
      <w:r w:rsidRPr="00ED40B0">
        <w:rPr>
          <w:rFonts w:ascii="Times New Roman" w:hAnsi="Times New Roman" w:cs="Times New Roman"/>
          <w:b/>
          <w:sz w:val="20"/>
          <w:szCs w:val="20"/>
        </w:rPr>
        <w:t>(42,0%)</w:t>
      </w:r>
      <w:r w:rsidRPr="00ED40B0">
        <w:rPr>
          <w:rFonts w:ascii="Times New Roman" w:hAnsi="Times New Roman" w:cs="Times New Roman"/>
          <w:sz w:val="20"/>
          <w:szCs w:val="20"/>
        </w:rPr>
        <w:t xml:space="preserve"> et de la détection des cas de tuberculose </w:t>
      </w:r>
      <w:r w:rsidRPr="00ED40B0">
        <w:rPr>
          <w:rFonts w:ascii="Times New Roman" w:hAnsi="Times New Roman" w:cs="Times New Roman"/>
          <w:b/>
          <w:sz w:val="20"/>
          <w:szCs w:val="20"/>
        </w:rPr>
        <w:t>(31%)</w:t>
      </w:r>
      <w:r w:rsidRPr="00ED40B0">
        <w:rPr>
          <w:rFonts w:ascii="Times New Roman" w:hAnsi="Times New Roman" w:cs="Times New Roman"/>
          <w:sz w:val="20"/>
          <w:szCs w:val="20"/>
        </w:rPr>
        <w:t xml:space="preserve">.  </w:t>
      </w:r>
    </w:p>
    <w:p w:rsidR="00ED40B0" w:rsidRPr="00ED40B0" w:rsidRDefault="00ED40B0" w:rsidP="008F46AC">
      <w:pPr>
        <w:pStyle w:val="Paragraphedeliste"/>
        <w:spacing w:line="240" w:lineRule="auto"/>
        <w:rPr>
          <w:rFonts w:ascii="Times New Roman" w:hAnsi="Times New Roman" w:cs="Times New Roman"/>
          <w:b/>
          <w:sz w:val="20"/>
          <w:szCs w:val="20"/>
        </w:rPr>
      </w:pPr>
    </w:p>
    <w:p w:rsidR="00B85517" w:rsidRPr="00ED40B0" w:rsidRDefault="00B85517" w:rsidP="00B85517">
      <w:pPr>
        <w:pStyle w:val="Paragraphedeliste"/>
        <w:numPr>
          <w:ilvl w:val="1"/>
          <w:numId w:val="1"/>
        </w:numPr>
        <w:spacing w:line="240" w:lineRule="auto"/>
        <w:rPr>
          <w:rFonts w:ascii="Times New Roman" w:hAnsi="Times New Roman" w:cs="Times New Roman"/>
          <w:b/>
          <w:sz w:val="20"/>
          <w:szCs w:val="20"/>
        </w:rPr>
      </w:pPr>
      <w:r w:rsidRPr="00ED40B0">
        <w:rPr>
          <w:rFonts w:ascii="Times New Roman" w:hAnsi="Times New Roman" w:cs="Times New Roman"/>
          <w:b/>
          <w:sz w:val="20"/>
          <w:szCs w:val="20"/>
        </w:rPr>
        <w:t>Dépenses directes de santé</w:t>
      </w:r>
    </w:p>
    <w:p w:rsidR="00B85517" w:rsidRPr="00ED40B0" w:rsidRDefault="00B20FBA" w:rsidP="00CE646B">
      <w:pPr>
        <w:spacing w:line="240" w:lineRule="auto"/>
        <w:jc w:val="both"/>
        <w:rPr>
          <w:rFonts w:ascii="Times New Roman" w:hAnsi="Times New Roman" w:cs="Times New Roman"/>
          <w:sz w:val="20"/>
          <w:szCs w:val="20"/>
        </w:rPr>
      </w:pPr>
      <w:r w:rsidRPr="00ED40B0">
        <w:rPr>
          <w:rFonts w:ascii="Times New Roman" w:hAnsi="Times New Roman" w:cs="Times New Roman"/>
          <w:sz w:val="20"/>
          <w:szCs w:val="20"/>
        </w:rPr>
        <w:t>L’OMS estime que lorsque les paiements directs se situent en dessous de 15 à 20% des dépenses totales de santé, l’incidence de ces dépenses directes de santé sur la catastrophe f</w:t>
      </w:r>
      <w:r w:rsidR="00081622" w:rsidRPr="00ED40B0">
        <w:rPr>
          <w:rFonts w:ascii="Times New Roman" w:hAnsi="Times New Roman" w:cs="Times New Roman"/>
          <w:sz w:val="20"/>
          <w:szCs w:val="20"/>
        </w:rPr>
        <w:t>inancière est négligeable (7,8</w:t>
      </w:r>
      <w:r w:rsidRPr="00ED40B0">
        <w:rPr>
          <w:rFonts w:ascii="Times New Roman" w:hAnsi="Times New Roman" w:cs="Times New Roman"/>
          <w:sz w:val="20"/>
          <w:szCs w:val="20"/>
        </w:rPr>
        <w:t xml:space="preserve">). </w:t>
      </w:r>
      <w:r w:rsidR="00CE646B" w:rsidRPr="00ED40B0">
        <w:rPr>
          <w:rFonts w:ascii="Times New Roman" w:hAnsi="Times New Roman" w:cs="Times New Roman"/>
          <w:sz w:val="20"/>
          <w:szCs w:val="20"/>
        </w:rPr>
        <w:t>Au Burkina Faso, le paiement direct des soins par les ménages constituent la 1ère source de financement de la santé. Il  représentait 36,8% de l’ensemble des dépenses courantes de santé en 2013. Cette forte part du paiement direct des soins par les ménages est défavorable pour la protection contre le risque financier.</w:t>
      </w:r>
      <w:r w:rsidRPr="00ED40B0">
        <w:rPr>
          <w:rFonts w:ascii="Times New Roman" w:hAnsi="Times New Roman" w:cs="Times New Roman"/>
          <w:sz w:val="20"/>
          <w:szCs w:val="20"/>
        </w:rPr>
        <w:t xml:space="preserve"> </w:t>
      </w:r>
    </w:p>
    <w:p w:rsidR="00CE646B" w:rsidRPr="00ED40B0" w:rsidRDefault="00384F80" w:rsidP="00B85517">
      <w:pPr>
        <w:pStyle w:val="Paragraphedeliste"/>
        <w:numPr>
          <w:ilvl w:val="1"/>
          <w:numId w:val="1"/>
        </w:numPr>
        <w:spacing w:line="240" w:lineRule="auto"/>
        <w:rPr>
          <w:rFonts w:ascii="Times New Roman" w:hAnsi="Times New Roman" w:cs="Times New Roman"/>
          <w:b/>
          <w:sz w:val="20"/>
          <w:szCs w:val="20"/>
        </w:rPr>
      </w:pPr>
      <w:r w:rsidRPr="00ED40B0">
        <w:rPr>
          <w:rFonts w:ascii="Times New Roman" w:hAnsi="Times New Roman" w:cs="Times New Roman"/>
          <w:b/>
          <w:sz w:val="20"/>
          <w:szCs w:val="20"/>
        </w:rPr>
        <w:t xml:space="preserve">Les dépenses catastrophiques </w:t>
      </w:r>
      <w:r w:rsidR="00CE646B" w:rsidRPr="00ED40B0">
        <w:rPr>
          <w:rFonts w:ascii="Times New Roman" w:hAnsi="Times New Roman" w:cs="Times New Roman"/>
          <w:b/>
          <w:sz w:val="20"/>
          <w:szCs w:val="20"/>
        </w:rPr>
        <w:t>de santé et taux d’appauvrissement</w:t>
      </w:r>
    </w:p>
    <w:p w:rsidR="00CE646B" w:rsidRPr="00ED40B0" w:rsidRDefault="00CE646B" w:rsidP="00CE646B">
      <w:pPr>
        <w:spacing w:line="240" w:lineRule="auto"/>
        <w:jc w:val="both"/>
        <w:rPr>
          <w:rFonts w:ascii="Times New Roman" w:hAnsi="Times New Roman" w:cs="Times New Roman"/>
          <w:sz w:val="20"/>
          <w:szCs w:val="20"/>
        </w:rPr>
      </w:pPr>
      <w:r w:rsidRPr="00ED40B0">
        <w:rPr>
          <w:rFonts w:ascii="Times New Roman" w:hAnsi="Times New Roman" w:cs="Times New Roman"/>
          <w:sz w:val="20"/>
          <w:szCs w:val="20"/>
        </w:rPr>
        <w:t xml:space="preserve">Le paiement direct des  soins de santé peut plonger des ménages dans la catastrophe financière ou même appauvrir certains d’entre eux. On parle de </w:t>
      </w:r>
      <w:r w:rsidR="00FF2B8A" w:rsidRPr="00ED40B0">
        <w:rPr>
          <w:rFonts w:ascii="Times New Roman" w:hAnsi="Times New Roman" w:cs="Times New Roman"/>
          <w:sz w:val="20"/>
          <w:szCs w:val="20"/>
        </w:rPr>
        <w:t>dépenses catastrophiques lorsqu’un ménage consacre plus de 25 % de ses dépenses non alimentaires aux soins</w:t>
      </w:r>
      <w:r w:rsidR="00382AA9" w:rsidRPr="00ED40B0">
        <w:rPr>
          <w:rFonts w:ascii="Times New Roman" w:hAnsi="Times New Roman" w:cs="Times New Roman"/>
          <w:sz w:val="20"/>
          <w:szCs w:val="20"/>
        </w:rPr>
        <w:t xml:space="preserve"> (1)</w:t>
      </w:r>
      <w:r w:rsidR="00FF2B8A" w:rsidRPr="00ED40B0">
        <w:rPr>
          <w:rFonts w:ascii="Times New Roman" w:hAnsi="Times New Roman" w:cs="Times New Roman"/>
          <w:sz w:val="20"/>
          <w:szCs w:val="20"/>
        </w:rPr>
        <w:t>.</w:t>
      </w:r>
      <w:r w:rsidRPr="00ED40B0">
        <w:rPr>
          <w:rFonts w:ascii="Times New Roman" w:hAnsi="Times New Roman" w:cs="Times New Roman"/>
          <w:sz w:val="20"/>
          <w:szCs w:val="20"/>
        </w:rPr>
        <w:t xml:space="preserve"> Les ménages exposés à la catastrophe financière peuvent alors basculer dans l’appauvrissement si après les soins, ils se situent en dessous du seuil de pauvreté. D’autres ménages par contre qui sont déjà sous le seuil de pauvreté et qui effectuent des dépenses de santé s’appauvrissent d’avantage</w:t>
      </w:r>
      <w:r w:rsidR="00382AA9" w:rsidRPr="00ED40B0">
        <w:rPr>
          <w:rFonts w:ascii="Times New Roman" w:hAnsi="Times New Roman" w:cs="Times New Roman"/>
          <w:sz w:val="20"/>
          <w:szCs w:val="20"/>
        </w:rPr>
        <w:t xml:space="preserve"> (5,6)</w:t>
      </w:r>
      <w:r w:rsidRPr="00ED40B0">
        <w:rPr>
          <w:rFonts w:ascii="Times New Roman" w:hAnsi="Times New Roman" w:cs="Times New Roman"/>
          <w:sz w:val="20"/>
          <w:szCs w:val="20"/>
        </w:rPr>
        <w:t xml:space="preserve">. </w:t>
      </w:r>
    </w:p>
    <w:p w:rsidR="00CE646B" w:rsidRPr="00ED40B0" w:rsidRDefault="00CE646B" w:rsidP="00CE646B">
      <w:pPr>
        <w:spacing w:line="240" w:lineRule="auto"/>
        <w:jc w:val="both"/>
        <w:rPr>
          <w:rFonts w:ascii="Times New Roman" w:hAnsi="Times New Roman" w:cs="Times New Roman"/>
          <w:sz w:val="20"/>
          <w:szCs w:val="20"/>
        </w:rPr>
      </w:pPr>
      <w:r w:rsidRPr="00ED40B0">
        <w:rPr>
          <w:rFonts w:ascii="Times New Roman" w:hAnsi="Times New Roman" w:cs="Times New Roman"/>
          <w:sz w:val="20"/>
          <w:szCs w:val="20"/>
        </w:rPr>
        <w:t xml:space="preserve">Sur la base de ces concepts, 1,43% des ménages ont effectué des dépenses catastrophiques en 2009 (tableau </w:t>
      </w:r>
      <w:r w:rsidR="00FF2B8A" w:rsidRPr="00ED40B0">
        <w:rPr>
          <w:rFonts w:ascii="Times New Roman" w:hAnsi="Times New Roman" w:cs="Times New Roman"/>
          <w:sz w:val="20"/>
          <w:szCs w:val="20"/>
        </w:rPr>
        <w:t>2</w:t>
      </w:r>
      <w:r w:rsidRPr="00ED40B0">
        <w:rPr>
          <w:rFonts w:ascii="Times New Roman" w:hAnsi="Times New Roman" w:cs="Times New Roman"/>
          <w:sz w:val="20"/>
          <w:szCs w:val="20"/>
        </w:rPr>
        <w:t>). Le taux d’appauvrissement se situait à 1,72% pendant la même an</w:t>
      </w:r>
      <w:r w:rsidR="00081622" w:rsidRPr="00ED40B0">
        <w:rPr>
          <w:rFonts w:ascii="Times New Roman" w:hAnsi="Times New Roman" w:cs="Times New Roman"/>
          <w:sz w:val="20"/>
          <w:szCs w:val="20"/>
        </w:rPr>
        <w:t>née (9</w:t>
      </w:r>
      <w:r w:rsidRPr="00ED40B0">
        <w:rPr>
          <w:rFonts w:ascii="Times New Roman" w:hAnsi="Times New Roman" w:cs="Times New Roman"/>
          <w:sz w:val="20"/>
          <w:szCs w:val="20"/>
        </w:rPr>
        <w:t>) soit près de 45 000 ménages. En fonction du milieu de résidence</w:t>
      </w:r>
      <w:r w:rsidR="00FF2B8A" w:rsidRPr="00ED40B0">
        <w:rPr>
          <w:rFonts w:ascii="Times New Roman" w:hAnsi="Times New Roman" w:cs="Times New Roman"/>
          <w:sz w:val="20"/>
          <w:szCs w:val="20"/>
        </w:rPr>
        <w:t>,</w:t>
      </w:r>
      <w:r w:rsidRPr="00ED40B0">
        <w:rPr>
          <w:rFonts w:ascii="Times New Roman" w:hAnsi="Times New Roman" w:cs="Times New Roman"/>
          <w:sz w:val="20"/>
          <w:szCs w:val="20"/>
        </w:rPr>
        <w:t xml:space="preserve"> du ménage et du quintile de bien-être économique, le taux d’appauvrissement </w:t>
      </w:r>
      <w:r w:rsidRPr="00ED40B0">
        <w:rPr>
          <w:rFonts w:ascii="Times New Roman" w:hAnsi="Times New Roman" w:cs="Times New Roman"/>
          <w:sz w:val="20"/>
          <w:szCs w:val="20"/>
        </w:rPr>
        <w:lastRenderedPageBreak/>
        <w:t>lié au paiement direct des soins varie considérablement comme le montre le tableau</w:t>
      </w:r>
      <w:r w:rsidR="00141FC1" w:rsidRPr="00ED40B0">
        <w:rPr>
          <w:rFonts w:ascii="Times New Roman" w:hAnsi="Times New Roman" w:cs="Times New Roman"/>
          <w:sz w:val="20"/>
          <w:szCs w:val="20"/>
        </w:rPr>
        <w:t xml:space="preserve"> suivant</w:t>
      </w:r>
      <w:r w:rsidRPr="00ED40B0">
        <w:rPr>
          <w:rFonts w:ascii="Times New Roman" w:hAnsi="Times New Roman" w:cs="Times New Roman"/>
          <w:sz w:val="20"/>
          <w:szCs w:val="20"/>
        </w:rPr>
        <w:t xml:space="preserve">. </w:t>
      </w:r>
      <w:r w:rsidR="00141FC1" w:rsidRPr="00ED40B0">
        <w:rPr>
          <w:rFonts w:ascii="Times New Roman" w:hAnsi="Times New Roman" w:cs="Times New Roman"/>
          <w:sz w:val="20"/>
          <w:szCs w:val="20"/>
        </w:rPr>
        <w:t xml:space="preserve">Il </w:t>
      </w:r>
      <w:r w:rsidRPr="00ED40B0">
        <w:rPr>
          <w:rFonts w:ascii="Times New Roman" w:hAnsi="Times New Roman" w:cs="Times New Roman"/>
          <w:sz w:val="20"/>
          <w:szCs w:val="20"/>
        </w:rPr>
        <w:t>atteint 7,67% chez le pauvre (quintile 2) contre seulement 0,04% chez le plus riche (quintile 5).</w:t>
      </w:r>
    </w:p>
    <w:p w:rsidR="00B85517" w:rsidRPr="00ED40B0" w:rsidRDefault="00CE646B" w:rsidP="00B85517">
      <w:pPr>
        <w:pStyle w:val="Paragraphedeliste"/>
        <w:numPr>
          <w:ilvl w:val="1"/>
          <w:numId w:val="1"/>
        </w:numPr>
        <w:spacing w:line="240" w:lineRule="auto"/>
        <w:rPr>
          <w:rFonts w:ascii="Times New Roman" w:hAnsi="Times New Roman" w:cs="Times New Roman"/>
          <w:b/>
          <w:sz w:val="20"/>
          <w:szCs w:val="20"/>
        </w:rPr>
      </w:pPr>
      <w:r w:rsidRPr="00ED40B0">
        <w:rPr>
          <w:rFonts w:ascii="Times New Roman" w:hAnsi="Times New Roman" w:cs="Times New Roman"/>
          <w:b/>
          <w:sz w:val="20"/>
          <w:szCs w:val="20"/>
        </w:rPr>
        <w:t>Index de la couverture universelle en santé</w:t>
      </w:r>
    </w:p>
    <w:p w:rsidR="000365EB" w:rsidRPr="00ED40B0" w:rsidRDefault="000365EB" w:rsidP="000365EB">
      <w:pPr>
        <w:spacing w:line="240" w:lineRule="auto"/>
        <w:jc w:val="both"/>
        <w:rPr>
          <w:rFonts w:ascii="Times New Roman" w:hAnsi="Times New Roman" w:cs="Times New Roman"/>
          <w:sz w:val="20"/>
          <w:szCs w:val="20"/>
        </w:rPr>
      </w:pPr>
      <w:r w:rsidRPr="00ED40B0">
        <w:rPr>
          <w:rFonts w:ascii="Times New Roman" w:hAnsi="Times New Roman" w:cs="Times New Roman"/>
          <w:sz w:val="20"/>
          <w:szCs w:val="20"/>
        </w:rPr>
        <w:t xml:space="preserve">En référence à la méthode </w:t>
      </w:r>
      <w:proofErr w:type="gramStart"/>
      <w:r w:rsidR="00503E3E" w:rsidRPr="00ED40B0">
        <w:rPr>
          <w:rFonts w:ascii="Times New Roman" w:hAnsi="Times New Roman" w:cs="Times New Roman"/>
          <w:sz w:val="20"/>
          <w:szCs w:val="20"/>
        </w:rPr>
        <w:t xml:space="preserve">de </w:t>
      </w:r>
      <w:r w:rsidR="0093209F" w:rsidRPr="00ED40B0">
        <w:rPr>
          <w:rFonts w:ascii="Times New Roman" w:hAnsi="Times New Roman" w:cs="Times New Roman"/>
          <w:sz w:val="20"/>
          <w:szCs w:val="20"/>
        </w:rPr>
        <w:t>A</w:t>
      </w:r>
      <w:proofErr w:type="gramEnd"/>
      <w:r w:rsidRPr="00ED40B0">
        <w:rPr>
          <w:rFonts w:ascii="Times New Roman" w:hAnsi="Times New Roman" w:cs="Times New Roman"/>
          <w:sz w:val="20"/>
          <w:szCs w:val="20"/>
        </w:rPr>
        <w:t xml:space="preserve">. </w:t>
      </w:r>
      <w:proofErr w:type="spellStart"/>
      <w:r w:rsidRPr="00ED40B0">
        <w:rPr>
          <w:rFonts w:ascii="Times New Roman" w:hAnsi="Times New Roman" w:cs="Times New Roman"/>
          <w:sz w:val="20"/>
          <w:szCs w:val="20"/>
        </w:rPr>
        <w:t>Wagstaff</w:t>
      </w:r>
      <w:proofErr w:type="spellEnd"/>
      <w:r w:rsidRPr="00ED40B0">
        <w:rPr>
          <w:rFonts w:ascii="Times New Roman" w:hAnsi="Times New Roman" w:cs="Times New Roman"/>
          <w:sz w:val="20"/>
          <w:szCs w:val="20"/>
        </w:rPr>
        <w:t xml:space="preserve"> et coll. le calcul de l'index de la CSU au Burkina Faso a été réalisé en tenant compte des niveaux de protection financière (PF) et de couverture en services de santé (CSS)</w:t>
      </w:r>
      <w:r w:rsidR="000763AE" w:rsidRPr="00ED40B0">
        <w:rPr>
          <w:rFonts w:ascii="Times New Roman" w:hAnsi="Times New Roman" w:cs="Times New Roman"/>
          <w:sz w:val="20"/>
          <w:szCs w:val="20"/>
        </w:rPr>
        <w:t xml:space="preserve"> (10,11)</w:t>
      </w:r>
      <w:r w:rsidRPr="00ED40B0">
        <w:rPr>
          <w:rFonts w:ascii="Times New Roman" w:hAnsi="Times New Roman" w:cs="Times New Roman"/>
          <w:sz w:val="20"/>
          <w:szCs w:val="20"/>
        </w:rPr>
        <w:t>. La formule de calcul utilisée est la suivante : Index CSU = Index PF</w:t>
      </w:r>
      <w:r w:rsidRPr="00ED40B0">
        <w:rPr>
          <w:rFonts w:ascii="Times New Roman" w:hAnsi="Times New Roman" w:cs="Times New Roman"/>
          <w:sz w:val="20"/>
          <w:szCs w:val="20"/>
          <w:vertAlign w:val="superscript"/>
        </w:rPr>
        <w:t>0</w:t>
      </w:r>
      <w:proofErr w:type="gramStart"/>
      <w:r w:rsidRPr="00ED40B0">
        <w:rPr>
          <w:rFonts w:ascii="Times New Roman" w:hAnsi="Times New Roman" w:cs="Times New Roman"/>
          <w:sz w:val="20"/>
          <w:szCs w:val="20"/>
          <w:vertAlign w:val="superscript"/>
        </w:rPr>
        <w:t>,5</w:t>
      </w:r>
      <w:proofErr w:type="gramEnd"/>
      <w:r w:rsidRPr="00ED40B0">
        <w:rPr>
          <w:rFonts w:ascii="Times New Roman" w:hAnsi="Times New Roman" w:cs="Times New Roman"/>
          <w:sz w:val="20"/>
          <w:szCs w:val="20"/>
          <w:vertAlign w:val="superscript"/>
        </w:rPr>
        <w:t xml:space="preserve"> </w:t>
      </w:r>
      <w:r w:rsidRPr="00ED40B0">
        <w:rPr>
          <w:rFonts w:ascii="Times New Roman" w:hAnsi="Times New Roman" w:cs="Times New Roman"/>
          <w:sz w:val="20"/>
          <w:szCs w:val="20"/>
        </w:rPr>
        <w:t>x Index CSS</w:t>
      </w:r>
      <w:r w:rsidRPr="00ED40B0">
        <w:rPr>
          <w:rFonts w:ascii="Times New Roman" w:hAnsi="Times New Roman" w:cs="Times New Roman"/>
          <w:sz w:val="20"/>
          <w:szCs w:val="20"/>
          <w:vertAlign w:val="superscript"/>
        </w:rPr>
        <w:t>0,5</w:t>
      </w:r>
      <w:r w:rsidR="000763AE" w:rsidRPr="00ED40B0">
        <w:rPr>
          <w:rFonts w:ascii="Times New Roman" w:hAnsi="Times New Roman" w:cs="Times New Roman"/>
          <w:sz w:val="20"/>
          <w:szCs w:val="20"/>
          <w:vertAlign w:val="superscript"/>
        </w:rPr>
        <w:t xml:space="preserve"> </w:t>
      </w:r>
    </w:p>
    <w:p w:rsidR="00ED40B0" w:rsidRPr="00ED40B0" w:rsidRDefault="0093209F" w:rsidP="000365EB">
      <w:pPr>
        <w:spacing w:line="240" w:lineRule="auto"/>
        <w:jc w:val="both"/>
        <w:rPr>
          <w:rFonts w:ascii="Times New Roman" w:hAnsi="Times New Roman" w:cs="Times New Roman"/>
          <w:sz w:val="20"/>
          <w:szCs w:val="20"/>
        </w:rPr>
      </w:pPr>
      <w:r w:rsidRPr="00ED40B0">
        <w:rPr>
          <w:rFonts w:ascii="Times New Roman" w:hAnsi="Times New Roman" w:cs="Times New Roman"/>
          <w:sz w:val="20"/>
          <w:szCs w:val="20"/>
        </w:rPr>
        <w:t>L’i</w:t>
      </w:r>
      <w:r w:rsidR="000365EB" w:rsidRPr="00ED40B0">
        <w:rPr>
          <w:rFonts w:ascii="Times New Roman" w:hAnsi="Times New Roman" w:cs="Times New Roman"/>
          <w:sz w:val="20"/>
          <w:szCs w:val="20"/>
        </w:rPr>
        <w:t xml:space="preserve">ndex de la protection financière donne le niveau de protection de la population contre le risque financier suite à des dépenses de santé. Il est obtenu à partir du taux d'appauvrissement (1,72%) et du % des ménages ayant effectué des dépenses de santé catastrophiques (1,43%) en tenant compte des niveaux minimums et maximums. On obtient </w:t>
      </w:r>
      <w:r w:rsidR="000365EB" w:rsidRPr="00ED40B0">
        <w:rPr>
          <w:rFonts w:ascii="Times New Roman" w:hAnsi="Times New Roman" w:cs="Times New Roman"/>
          <w:b/>
          <w:sz w:val="20"/>
          <w:szCs w:val="20"/>
        </w:rPr>
        <w:t>: Index PF = 9,5%</w:t>
      </w:r>
      <w:r w:rsidRPr="00ED40B0">
        <w:rPr>
          <w:rFonts w:ascii="Times New Roman" w:hAnsi="Times New Roman" w:cs="Times New Roman"/>
          <w:sz w:val="20"/>
          <w:szCs w:val="20"/>
        </w:rPr>
        <w:t xml:space="preserve"> L’i</w:t>
      </w:r>
      <w:r w:rsidR="000365EB" w:rsidRPr="00ED40B0">
        <w:rPr>
          <w:rFonts w:ascii="Times New Roman" w:hAnsi="Times New Roman" w:cs="Times New Roman"/>
          <w:sz w:val="20"/>
          <w:szCs w:val="20"/>
        </w:rPr>
        <w:t xml:space="preserve">ndex de couverture en services de santé </w:t>
      </w:r>
      <w:r w:rsidRPr="00ED40B0">
        <w:rPr>
          <w:rFonts w:ascii="Times New Roman" w:hAnsi="Times New Roman" w:cs="Times New Roman"/>
          <w:sz w:val="20"/>
          <w:szCs w:val="20"/>
        </w:rPr>
        <w:t xml:space="preserve">résulte de </w:t>
      </w:r>
      <w:r w:rsidR="000365EB" w:rsidRPr="00ED40B0">
        <w:rPr>
          <w:rFonts w:ascii="Times New Roman" w:hAnsi="Times New Roman" w:cs="Times New Roman"/>
          <w:sz w:val="20"/>
          <w:szCs w:val="20"/>
        </w:rPr>
        <w:t>la combinaison des niveaux de couverture de services de prévention et de traitement. L</w:t>
      </w:r>
      <w:r w:rsidRPr="00ED40B0">
        <w:rPr>
          <w:rFonts w:ascii="Times New Roman" w:hAnsi="Times New Roman" w:cs="Times New Roman"/>
          <w:sz w:val="20"/>
          <w:szCs w:val="20"/>
        </w:rPr>
        <w:t xml:space="preserve">es douze indicateurs </w:t>
      </w:r>
      <w:r w:rsidR="000365EB" w:rsidRPr="00ED40B0">
        <w:rPr>
          <w:rFonts w:ascii="Times New Roman" w:hAnsi="Times New Roman" w:cs="Times New Roman"/>
          <w:sz w:val="20"/>
          <w:szCs w:val="20"/>
        </w:rPr>
        <w:t xml:space="preserve">proposés par l'OMS ont été retenus pour le calcul de l'index CSS. On obtient : </w:t>
      </w:r>
      <w:r w:rsidR="000365EB" w:rsidRPr="00ED40B0">
        <w:rPr>
          <w:rFonts w:ascii="Times New Roman" w:hAnsi="Times New Roman" w:cs="Times New Roman"/>
          <w:b/>
          <w:sz w:val="20"/>
          <w:szCs w:val="20"/>
        </w:rPr>
        <w:t>Index CSS = 20,2%</w:t>
      </w:r>
      <w:r w:rsidR="00503E3E" w:rsidRPr="00ED40B0">
        <w:rPr>
          <w:rFonts w:ascii="Times New Roman" w:hAnsi="Times New Roman" w:cs="Times New Roman"/>
          <w:sz w:val="20"/>
          <w:szCs w:val="20"/>
        </w:rPr>
        <w:t xml:space="preserve">. </w:t>
      </w:r>
      <w:r w:rsidR="000365EB" w:rsidRPr="00ED40B0">
        <w:rPr>
          <w:rFonts w:ascii="Times New Roman" w:hAnsi="Times New Roman" w:cs="Times New Roman"/>
          <w:sz w:val="20"/>
          <w:szCs w:val="20"/>
        </w:rPr>
        <w:t xml:space="preserve">L'index de CSU est donc égal à </w:t>
      </w:r>
      <w:r w:rsidR="000365EB" w:rsidRPr="00ED40B0">
        <w:rPr>
          <w:rFonts w:ascii="Times New Roman" w:hAnsi="Times New Roman" w:cs="Times New Roman"/>
          <w:b/>
          <w:sz w:val="20"/>
          <w:szCs w:val="20"/>
        </w:rPr>
        <w:t>13,9</w:t>
      </w:r>
      <w:r w:rsidR="000365EB" w:rsidRPr="00ED40B0">
        <w:rPr>
          <w:rFonts w:ascii="Times New Roman" w:hAnsi="Times New Roman" w:cs="Times New Roman"/>
          <w:sz w:val="20"/>
          <w:szCs w:val="20"/>
        </w:rPr>
        <w:t>. En se référant à la fonction de Cobb et Douglas, la figure 25 présente la position du niveau de l'index de CSU du Burkina Faso en tenant compte des diffé</w:t>
      </w:r>
      <w:r w:rsidR="00440DE4" w:rsidRPr="00ED40B0">
        <w:rPr>
          <w:rFonts w:ascii="Times New Roman" w:hAnsi="Times New Roman" w:cs="Times New Roman"/>
          <w:sz w:val="20"/>
          <w:szCs w:val="20"/>
        </w:rPr>
        <w:t xml:space="preserve">rents niveaux d'index de la CSU. </w:t>
      </w:r>
    </w:p>
    <w:p w:rsidR="000365EB" w:rsidRPr="00ED40B0" w:rsidRDefault="0004485D" w:rsidP="0004485D">
      <w:pPr>
        <w:pStyle w:val="Paragraphedeliste"/>
        <w:numPr>
          <w:ilvl w:val="0"/>
          <w:numId w:val="1"/>
        </w:numPr>
        <w:spacing w:line="240" w:lineRule="auto"/>
        <w:rPr>
          <w:rFonts w:ascii="Tahoma" w:hAnsi="Tahoma" w:cs="Tahoma"/>
          <w:b/>
          <w:sz w:val="20"/>
          <w:szCs w:val="20"/>
        </w:rPr>
      </w:pPr>
      <w:r w:rsidRPr="00ED40B0">
        <w:rPr>
          <w:rFonts w:ascii="Tahoma" w:hAnsi="Tahoma" w:cs="Tahoma"/>
          <w:b/>
          <w:sz w:val="20"/>
          <w:szCs w:val="20"/>
        </w:rPr>
        <w:t xml:space="preserve">Conclusion </w:t>
      </w:r>
    </w:p>
    <w:p w:rsidR="00565420" w:rsidRPr="00ED40B0" w:rsidRDefault="005F54F1" w:rsidP="00ED40B0">
      <w:pPr>
        <w:jc w:val="both"/>
        <w:rPr>
          <w:rFonts w:ascii="Times New Roman" w:hAnsi="Times New Roman" w:cs="Times New Roman"/>
          <w:sz w:val="20"/>
          <w:szCs w:val="20"/>
        </w:rPr>
      </w:pPr>
      <w:r w:rsidRPr="00ED40B0">
        <w:rPr>
          <w:rFonts w:ascii="Times New Roman" w:hAnsi="Times New Roman" w:cs="Times New Roman"/>
          <w:sz w:val="20"/>
          <w:szCs w:val="20"/>
        </w:rPr>
        <w:t>Les données de base de la couverture sanitaire au Burkina Faso sont maintenant connues. La couverture des services curatifs est de 58% et celle des services curatifs est de 58%. Le taux des dépenses catastrophes et celui d’appauvrissement sont respectivement de 1,78% et 1,43%. Placé sur la courbe de Coll. et Douglas, l’index de la couverture sanitaire au Burkina Faso qui est de 13% montre bien l’étendu des efforts que le pays doit faire pour évoluer vers les objectifs dans ce domaine (80%). Le Burkina Faso peut donc suivre les progrès qui seront réalisés au départ des données ci-dessous, mais aussi comparer les progrès qu’il va réaliser par rapport aux autres pays de la sous-région et éventuellement apprendre de l’expérience de ces derniers.</w:t>
      </w:r>
    </w:p>
    <w:p w:rsidR="00565420" w:rsidRPr="00ED40B0" w:rsidRDefault="00565420" w:rsidP="00565420">
      <w:pPr>
        <w:rPr>
          <w:rFonts w:ascii="Times New Roman" w:hAnsi="Times New Roman" w:cs="Times New Roman"/>
          <w:b/>
          <w:sz w:val="20"/>
          <w:szCs w:val="20"/>
        </w:rPr>
      </w:pPr>
    </w:p>
    <w:sectPr w:rsidR="00565420" w:rsidRPr="00ED40B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3F5" w:rsidRDefault="008C63F5" w:rsidP="00E20B67">
      <w:pPr>
        <w:spacing w:after="0" w:line="240" w:lineRule="auto"/>
      </w:pPr>
      <w:r>
        <w:separator/>
      </w:r>
    </w:p>
  </w:endnote>
  <w:endnote w:type="continuationSeparator" w:id="0">
    <w:p w:rsidR="008C63F5" w:rsidRDefault="008C63F5" w:rsidP="00E2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270120"/>
      <w:docPartObj>
        <w:docPartGallery w:val="Page Numbers (Bottom of Page)"/>
        <w:docPartUnique/>
      </w:docPartObj>
    </w:sdtPr>
    <w:sdtEndPr/>
    <w:sdtContent>
      <w:p w:rsidR="00E20B67" w:rsidRDefault="00E20B67">
        <w:pPr>
          <w:pStyle w:val="Pieddepage"/>
        </w:pPr>
        <w:r>
          <w:rPr>
            <w:noProof/>
            <w:lang w:val="fr-FR" w:eastAsia="fr-FR"/>
          </w:rPr>
          <mc:AlternateContent>
            <mc:Choice Requires="wps">
              <w:drawing>
                <wp:anchor distT="0" distB="0" distL="114300" distR="114300" simplePos="0" relativeHeight="251659264" behindDoc="0" locked="0" layoutInCell="0" allowOverlap="1" wp14:anchorId="34D02B09" wp14:editId="310FD1F6">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E20B67" w:rsidRDefault="00E20B67">
                              <w:pPr>
                                <w:jc w:val="center"/>
                              </w:pPr>
                              <w:r>
                                <w:fldChar w:fldCharType="begin"/>
                              </w:r>
                              <w:r>
                                <w:instrText>PAGE    \* MERGEFORMAT</w:instrText>
                              </w:r>
                              <w:r>
                                <w:fldChar w:fldCharType="separate"/>
                              </w:r>
                              <w:r w:rsidR="007B66F2" w:rsidRPr="007B66F2">
                                <w:rPr>
                                  <w:noProof/>
                                  <w:sz w:val="16"/>
                                  <w:szCs w:val="16"/>
                                  <w:lang w:val="fr-FR"/>
                                </w:rPr>
                                <w:t>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E20B67" w:rsidRDefault="00E20B67">
                        <w:pPr>
                          <w:jc w:val="center"/>
                        </w:pPr>
                        <w:r>
                          <w:fldChar w:fldCharType="begin"/>
                        </w:r>
                        <w:r>
                          <w:instrText>PAGE    \* MERGEFORMAT</w:instrText>
                        </w:r>
                        <w:r>
                          <w:fldChar w:fldCharType="separate"/>
                        </w:r>
                        <w:r w:rsidR="007B66F2" w:rsidRPr="007B66F2">
                          <w:rPr>
                            <w:noProof/>
                            <w:sz w:val="16"/>
                            <w:szCs w:val="16"/>
                            <w:lang w:val="fr-FR"/>
                          </w:rPr>
                          <w:t>3</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3F5" w:rsidRDefault="008C63F5" w:rsidP="00E20B67">
      <w:pPr>
        <w:spacing w:after="0" w:line="240" w:lineRule="auto"/>
      </w:pPr>
      <w:r>
        <w:separator/>
      </w:r>
    </w:p>
  </w:footnote>
  <w:footnote w:type="continuationSeparator" w:id="0">
    <w:p w:rsidR="008C63F5" w:rsidRDefault="008C63F5" w:rsidP="00E20B67">
      <w:pPr>
        <w:spacing w:after="0" w:line="240" w:lineRule="auto"/>
      </w:pPr>
      <w:r>
        <w:continuationSeparator/>
      </w:r>
    </w:p>
  </w:footnote>
  <w:footnote w:id="1">
    <w:p w:rsidR="00E60ABC" w:rsidRPr="00960495" w:rsidRDefault="00E60ABC" w:rsidP="00E60ABC">
      <w:pPr>
        <w:pStyle w:val="Notedebasdepage"/>
        <w:rPr>
          <w:lang w:val="fr-FR"/>
        </w:rPr>
      </w:pPr>
      <w:r>
        <w:rPr>
          <w:rStyle w:val="Appelnotedebasdep"/>
        </w:rPr>
        <w:footnoteRef/>
      </w:r>
      <w:r>
        <w:t xml:space="preserve"> </w:t>
      </w:r>
      <w:r>
        <w:rPr>
          <w:lang w:val="fr-FR"/>
        </w:rPr>
        <w:t xml:space="preserve">Il s’agit des indicateurs du document </w:t>
      </w:r>
      <w:r w:rsidRPr="00960495">
        <w:rPr>
          <w:lang w:val="fr-FR"/>
        </w:rPr>
        <w:t>de cadre et suivi des progrès à l’échelle nationale et mondiale</w:t>
      </w:r>
      <w:r>
        <w:rPr>
          <w:lang w:val="fr-FR"/>
        </w:rPr>
        <w:t xml:space="preserve"> de la CSU</w:t>
      </w:r>
    </w:p>
  </w:footnote>
  <w:footnote w:id="2">
    <w:p w:rsidR="00E60ABC" w:rsidRPr="0065671D" w:rsidRDefault="00E60ABC" w:rsidP="00E60ABC">
      <w:pPr>
        <w:pStyle w:val="Notedebasdepage"/>
        <w:rPr>
          <w:lang w:val="fr-FR"/>
        </w:rPr>
      </w:pPr>
      <w:r>
        <w:rPr>
          <w:rStyle w:val="Appelnotedebasdep"/>
        </w:rPr>
        <w:footnoteRef/>
      </w:r>
      <w:r>
        <w:t xml:space="preserve"> </w:t>
      </w:r>
      <w:r>
        <w:rPr>
          <w:lang w:val="fr-FR"/>
        </w:rPr>
        <w:t>La moyenne globale des services de traitement ventilée par milieu concerne le t</w:t>
      </w:r>
      <w:r w:rsidRPr="0065671D">
        <w:rPr>
          <w:lang w:val="fr-FR"/>
        </w:rPr>
        <w:t>raitement HTA</w:t>
      </w:r>
      <w:r>
        <w:rPr>
          <w:lang w:val="fr-FR"/>
        </w:rPr>
        <w:t>, le t</w:t>
      </w:r>
      <w:r w:rsidRPr="0065671D">
        <w:rPr>
          <w:lang w:val="fr-FR"/>
        </w:rPr>
        <w:t xml:space="preserve">raitement </w:t>
      </w:r>
      <w:r>
        <w:rPr>
          <w:lang w:val="fr-FR"/>
        </w:rPr>
        <w:t>contre le diabète et l’acc</w:t>
      </w:r>
      <w:r w:rsidRPr="0065671D">
        <w:rPr>
          <w:lang w:val="fr-FR"/>
        </w:rPr>
        <w:t>ouchement qualifié</w:t>
      </w:r>
      <w:r>
        <w:rPr>
          <w:lang w:val="fr-FR"/>
        </w:rPr>
        <w:t>. Les trois autres indicateurs ne sont pas disponibles en fonction du milieu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41EAD"/>
    <w:multiLevelType w:val="multilevel"/>
    <w:tmpl w:val="3B801E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8E21636"/>
    <w:multiLevelType w:val="hybridMultilevel"/>
    <w:tmpl w:val="9F94A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B56A8B"/>
    <w:multiLevelType w:val="hybridMultilevel"/>
    <w:tmpl w:val="9A788440"/>
    <w:lvl w:ilvl="0" w:tplc="26224DE6">
      <w:start w:val="1"/>
      <w:numFmt w:val="decimal"/>
      <w:lvlText w:val="%1."/>
      <w:lvlJc w:val="left"/>
      <w:pPr>
        <w:ind w:left="720" w:hanging="360"/>
      </w:pPr>
      <w:rPr>
        <w:rFonts w:ascii="Times New Roman" w:hAnsi="Times New Roman" w:cs="Times New Roman" w:hint="default"/>
        <w:sz w:val="22"/>
        <w:szCs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42F57E7D"/>
    <w:multiLevelType w:val="hybridMultilevel"/>
    <w:tmpl w:val="8E16515C"/>
    <w:lvl w:ilvl="0" w:tplc="0E427D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4FA5E94"/>
    <w:multiLevelType w:val="hybridMultilevel"/>
    <w:tmpl w:val="9F6A576A"/>
    <w:lvl w:ilvl="0" w:tplc="DD64E114">
      <w:start w:val="1"/>
      <w:numFmt w:val="decimal"/>
      <w:lvlText w:val="%1."/>
      <w:lvlJc w:val="left"/>
      <w:pPr>
        <w:ind w:left="720" w:hanging="360"/>
      </w:pPr>
      <w:rPr>
        <w:rFonts w:hint="default"/>
        <w:sz w:val="24"/>
        <w:szCs w:val="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57645B24"/>
    <w:multiLevelType w:val="hybridMultilevel"/>
    <w:tmpl w:val="9E80318A"/>
    <w:lvl w:ilvl="0" w:tplc="0E427D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D6821CC"/>
    <w:multiLevelType w:val="hybridMultilevel"/>
    <w:tmpl w:val="718A4B2E"/>
    <w:lvl w:ilvl="0" w:tplc="0E427D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9ED3AAB"/>
    <w:multiLevelType w:val="hybridMultilevel"/>
    <w:tmpl w:val="D12ADE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7"/>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EB"/>
    <w:rsid w:val="000365EB"/>
    <w:rsid w:val="0004485D"/>
    <w:rsid w:val="000763AE"/>
    <w:rsid w:val="00081622"/>
    <w:rsid w:val="000A5DC0"/>
    <w:rsid w:val="00110CA6"/>
    <w:rsid w:val="00141FC1"/>
    <w:rsid w:val="00177EFF"/>
    <w:rsid w:val="001D0BC0"/>
    <w:rsid w:val="003235E6"/>
    <w:rsid w:val="00332791"/>
    <w:rsid w:val="00367F94"/>
    <w:rsid w:val="00382AA9"/>
    <w:rsid w:val="00384F80"/>
    <w:rsid w:val="00392086"/>
    <w:rsid w:val="00405A3A"/>
    <w:rsid w:val="00440DE4"/>
    <w:rsid w:val="00503E3E"/>
    <w:rsid w:val="0054391E"/>
    <w:rsid w:val="00556ACE"/>
    <w:rsid w:val="00565420"/>
    <w:rsid w:val="005700C5"/>
    <w:rsid w:val="005C4EFF"/>
    <w:rsid w:val="005F54F1"/>
    <w:rsid w:val="00636895"/>
    <w:rsid w:val="006A36F1"/>
    <w:rsid w:val="00752579"/>
    <w:rsid w:val="007B66F2"/>
    <w:rsid w:val="007C13D2"/>
    <w:rsid w:val="00833E10"/>
    <w:rsid w:val="008C63F5"/>
    <w:rsid w:val="008F46AC"/>
    <w:rsid w:val="00913720"/>
    <w:rsid w:val="00915847"/>
    <w:rsid w:val="0093209F"/>
    <w:rsid w:val="00932E7B"/>
    <w:rsid w:val="009762F8"/>
    <w:rsid w:val="009C70B1"/>
    <w:rsid w:val="00A20469"/>
    <w:rsid w:val="00A23A88"/>
    <w:rsid w:val="00A76AB1"/>
    <w:rsid w:val="00A92645"/>
    <w:rsid w:val="00AB6475"/>
    <w:rsid w:val="00AC1BAC"/>
    <w:rsid w:val="00B20FBA"/>
    <w:rsid w:val="00B411FA"/>
    <w:rsid w:val="00B564B0"/>
    <w:rsid w:val="00B62208"/>
    <w:rsid w:val="00B85517"/>
    <w:rsid w:val="00BA20D7"/>
    <w:rsid w:val="00BD7C2D"/>
    <w:rsid w:val="00C060B0"/>
    <w:rsid w:val="00C1799B"/>
    <w:rsid w:val="00C41725"/>
    <w:rsid w:val="00C56B72"/>
    <w:rsid w:val="00CE646B"/>
    <w:rsid w:val="00D925BF"/>
    <w:rsid w:val="00DF4C6C"/>
    <w:rsid w:val="00E20B67"/>
    <w:rsid w:val="00E3617B"/>
    <w:rsid w:val="00E60ABC"/>
    <w:rsid w:val="00E77A6A"/>
    <w:rsid w:val="00ED1879"/>
    <w:rsid w:val="00ED21E7"/>
    <w:rsid w:val="00ED40B0"/>
    <w:rsid w:val="00F2232B"/>
    <w:rsid w:val="00FC6A2C"/>
    <w:rsid w:val="00FC7C49"/>
    <w:rsid w:val="00FF2B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5EB"/>
    <w:pPr>
      <w:spacing w:line="252" w:lineRule="auto"/>
    </w:pPr>
    <w:rPr>
      <w:rFonts w:asciiTheme="majorHAnsi" w:eastAsiaTheme="majorEastAsia" w:hAnsiTheme="majorHAnsi" w:cstheme="majorBidi"/>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rsid w:val="000365EB"/>
    <w:rPr>
      <w:caps/>
      <w:spacing w:val="10"/>
      <w:sz w:val="18"/>
      <w:szCs w:val="18"/>
    </w:rPr>
  </w:style>
  <w:style w:type="paragraph" w:styleId="Textedebulles">
    <w:name w:val="Balloon Text"/>
    <w:basedOn w:val="Normal"/>
    <w:link w:val="TextedebullesCar"/>
    <w:uiPriority w:val="99"/>
    <w:semiHidden/>
    <w:unhideWhenUsed/>
    <w:rsid w:val="000365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65EB"/>
    <w:rPr>
      <w:rFonts w:ascii="Tahoma" w:eastAsiaTheme="majorEastAsia" w:hAnsi="Tahoma" w:cs="Tahoma"/>
      <w:sz w:val="16"/>
      <w:szCs w:val="16"/>
      <w:lang w:val="fr-CH"/>
    </w:rPr>
  </w:style>
  <w:style w:type="table" w:customStyle="1" w:styleId="Tableausimple31">
    <w:name w:val="Tableau simple 31"/>
    <w:basedOn w:val="TableauNormal"/>
    <w:uiPriority w:val="43"/>
    <w:rsid w:val="000365EB"/>
    <w:pPr>
      <w:spacing w:after="0" w:line="240" w:lineRule="auto"/>
    </w:pPr>
    <w:rPr>
      <w:rFonts w:ascii="Calibri Light" w:eastAsia="Times New Roman" w:hAnsi="Calibri Light" w:cs="Times New Roman"/>
      <w:lang w:val="fr-CH"/>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0A5DC0"/>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D925BF"/>
    <w:pPr>
      <w:ind w:left="720"/>
      <w:contextualSpacing/>
    </w:pPr>
  </w:style>
  <w:style w:type="paragraph" w:styleId="En-tte">
    <w:name w:val="header"/>
    <w:basedOn w:val="Normal"/>
    <w:link w:val="En-tteCar"/>
    <w:uiPriority w:val="99"/>
    <w:unhideWhenUsed/>
    <w:rsid w:val="00E20B67"/>
    <w:pPr>
      <w:tabs>
        <w:tab w:val="center" w:pos="4536"/>
        <w:tab w:val="right" w:pos="9072"/>
      </w:tabs>
      <w:spacing w:after="0" w:line="240" w:lineRule="auto"/>
    </w:pPr>
  </w:style>
  <w:style w:type="character" w:customStyle="1" w:styleId="En-tteCar">
    <w:name w:val="En-tête Car"/>
    <w:basedOn w:val="Policepardfaut"/>
    <w:link w:val="En-tte"/>
    <w:uiPriority w:val="99"/>
    <w:rsid w:val="00E20B67"/>
    <w:rPr>
      <w:rFonts w:asciiTheme="majorHAnsi" w:eastAsiaTheme="majorEastAsia" w:hAnsiTheme="majorHAnsi" w:cstheme="majorBidi"/>
      <w:lang w:val="fr-CH"/>
    </w:rPr>
  </w:style>
  <w:style w:type="paragraph" w:styleId="Pieddepage">
    <w:name w:val="footer"/>
    <w:basedOn w:val="Normal"/>
    <w:link w:val="PieddepageCar"/>
    <w:uiPriority w:val="99"/>
    <w:unhideWhenUsed/>
    <w:rsid w:val="00E20B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0B67"/>
    <w:rPr>
      <w:rFonts w:asciiTheme="majorHAnsi" w:eastAsiaTheme="majorEastAsia" w:hAnsiTheme="majorHAnsi" w:cstheme="majorBidi"/>
      <w:lang w:val="fr-CH"/>
    </w:rPr>
  </w:style>
  <w:style w:type="paragraph" w:styleId="Notedebasdepage">
    <w:name w:val="footnote text"/>
    <w:basedOn w:val="Normal"/>
    <w:link w:val="NotedebasdepageCar"/>
    <w:uiPriority w:val="99"/>
    <w:unhideWhenUsed/>
    <w:rsid w:val="00E60ABC"/>
    <w:pPr>
      <w:spacing w:after="0" w:line="240" w:lineRule="auto"/>
    </w:pPr>
    <w:rPr>
      <w:sz w:val="20"/>
      <w:szCs w:val="20"/>
    </w:rPr>
  </w:style>
  <w:style w:type="character" w:customStyle="1" w:styleId="NotedebasdepageCar">
    <w:name w:val="Note de bas de page Car"/>
    <w:basedOn w:val="Policepardfaut"/>
    <w:link w:val="Notedebasdepage"/>
    <w:uiPriority w:val="99"/>
    <w:rsid w:val="00E60ABC"/>
    <w:rPr>
      <w:rFonts w:asciiTheme="majorHAnsi" w:eastAsiaTheme="majorEastAsia" w:hAnsiTheme="majorHAnsi" w:cstheme="majorBidi"/>
      <w:sz w:val="20"/>
      <w:szCs w:val="20"/>
      <w:lang w:val="fr-CH"/>
    </w:rPr>
  </w:style>
  <w:style w:type="character" w:styleId="Appelnotedebasdep">
    <w:name w:val="footnote reference"/>
    <w:basedOn w:val="Policepardfaut"/>
    <w:uiPriority w:val="99"/>
    <w:semiHidden/>
    <w:unhideWhenUsed/>
    <w:rsid w:val="00E60ABC"/>
    <w:rPr>
      <w:vertAlign w:val="superscript"/>
    </w:rPr>
  </w:style>
  <w:style w:type="table" w:styleId="Grilledutableau">
    <w:name w:val="Table Grid"/>
    <w:basedOn w:val="TableauNormal"/>
    <w:uiPriority w:val="39"/>
    <w:rsid w:val="00E60ABC"/>
    <w:pPr>
      <w:spacing w:after="0" w:line="240" w:lineRule="auto"/>
    </w:pPr>
    <w:rPr>
      <w:rFonts w:asciiTheme="majorHAnsi" w:eastAsiaTheme="majorEastAsia" w:hAnsiTheme="majorHAnsi" w:cstheme="majorBid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5EB"/>
    <w:pPr>
      <w:spacing w:line="252" w:lineRule="auto"/>
    </w:pPr>
    <w:rPr>
      <w:rFonts w:asciiTheme="majorHAnsi" w:eastAsiaTheme="majorEastAsia" w:hAnsiTheme="majorHAnsi" w:cstheme="majorBidi"/>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rsid w:val="000365EB"/>
    <w:rPr>
      <w:caps/>
      <w:spacing w:val="10"/>
      <w:sz w:val="18"/>
      <w:szCs w:val="18"/>
    </w:rPr>
  </w:style>
  <w:style w:type="paragraph" w:styleId="Textedebulles">
    <w:name w:val="Balloon Text"/>
    <w:basedOn w:val="Normal"/>
    <w:link w:val="TextedebullesCar"/>
    <w:uiPriority w:val="99"/>
    <w:semiHidden/>
    <w:unhideWhenUsed/>
    <w:rsid w:val="000365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65EB"/>
    <w:rPr>
      <w:rFonts w:ascii="Tahoma" w:eastAsiaTheme="majorEastAsia" w:hAnsi="Tahoma" w:cs="Tahoma"/>
      <w:sz w:val="16"/>
      <w:szCs w:val="16"/>
      <w:lang w:val="fr-CH"/>
    </w:rPr>
  </w:style>
  <w:style w:type="table" w:customStyle="1" w:styleId="Tableausimple31">
    <w:name w:val="Tableau simple 31"/>
    <w:basedOn w:val="TableauNormal"/>
    <w:uiPriority w:val="43"/>
    <w:rsid w:val="000365EB"/>
    <w:pPr>
      <w:spacing w:after="0" w:line="240" w:lineRule="auto"/>
    </w:pPr>
    <w:rPr>
      <w:rFonts w:ascii="Calibri Light" w:eastAsia="Times New Roman" w:hAnsi="Calibri Light" w:cs="Times New Roman"/>
      <w:lang w:val="fr-CH"/>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0A5DC0"/>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D925BF"/>
    <w:pPr>
      <w:ind w:left="720"/>
      <w:contextualSpacing/>
    </w:pPr>
  </w:style>
  <w:style w:type="paragraph" w:styleId="En-tte">
    <w:name w:val="header"/>
    <w:basedOn w:val="Normal"/>
    <w:link w:val="En-tteCar"/>
    <w:uiPriority w:val="99"/>
    <w:unhideWhenUsed/>
    <w:rsid w:val="00E20B67"/>
    <w:pPr>
      <w:tabs>
        <w:tab w:val="center" w:pos="4536"/>
        <w:tab w:val="right" w:pos="9072"/>
      </w:tabs>
      <w:spacing w:after="0" w:line="240" w:lineRule="auto"/>
    </w:pPr>
  </w:style>
  <w:style w:type="character" w:customStyle="1" w:styleId="En-tteCar">
    <w:name w:val="En-tête Car"/>
    <w:basedOn w:val="Policepardfaut"/>
    <w:link w:val="En-tte"/>
    <w:uiPriority w:val="99"/>
    <w:rsid w:val="00E20B67"/>
    <w:rPr>
      <w:rFonts w:asciiTheme="majorHAnsi" w:eastAsiaTheme="majorEastAsia" w:hAnsiTheme="majorHAnsi" w:cstheme="majorBidi"/>
      <w:lang w:val="fr-CH"/>
    </w:rPr>
  </w:style>
  <w:style w:type="paragraph" w:styleId="Pieddepage">
    <w:name w:val="footer"/>
    <w:basedOn w:val="Normal"/>
    <w:link w:val="PieddepageCar"/>
    <w:uiPriority w:val="99"/>
    <w:unhideWhenUsed/>
    <w:rsid w:val="00E20B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0B67"/>
    <w:rPr>
      <w:rFonts w:asciiTheme="majorHAnsi" w:eastAsiaTheme="majorEastAsia" w:hAnsiTheme="majorHAnsi" w:cstheme="majorBidi"/>
      <w:lang w:val="fr-CH"/>
    </w:rPr>
  </w:style>
  <w:style w:type="paragraph" w:styleId="Notedebasdepage">
    <w:name w:val="footnote text"/>
    <w:basedOn w:val="Normal"/>
    <w:link w:val="NotedebasdepageCar"/>
    <w:uiPriority w:val="99"/>
    <w:unhideWhenUsed/>
    <w:rsid w:val="00E60ABC"/>
    <w:pPr>
      <w:spacing w:after="0" w:line="240" w:lineRule="auto"/>
    </w:pPr>
    <w:rPr>
      <w:sz w:val="20"/>
      <w:szCs w:val="20"/>
    </w:rPr>
  </w:style>
  <w:style w:type="character" w:customStyle="1" w:styleId="NotedebasdepageCar">
    <w:name w:val="Note de bas de page Car"/>
    <w:basedOn w:val="Policepardfaut"/>
    <w:link w:val="Notedebasdepage"/>
    <w:uiPriority w:val="99"/>
    <w:rsid w:val="00E60ABC"/>
    <w:rPr>
      <w:rFonts w:asciiTheme="majorHAnsi" w:eastAsiaTheme="majorEastAsia" w:hAnsiTheme="majorHAnsi" w:cstheme="majorBidi"/>
      <w:sz w:val="20"/>
      <w:szCs w:val="20"/>
      <w:lang w:val="fr-CH"/>
    </w:rPr>
  </w:style>
  <w:style w:type="character" w:styleId="Appelnotedebasdep">
    <w:name w:val="footnote reference"/>
    <w:basedOn w:val="Policepardfaut"/>
    <w:uiPriority w:val="99"/>
    <w:semiHidden/>
    <w:unhideWhenUsed/>
    <w:rsid w:val="00E60ABC"/>
    <w:rPr>
      <w:vertAlign w:val="superscript"/>
    </w:rPr>
  </w:style>
  <w:style w:type="table" w:styleId="Grilledutableau">
    <w:name w:val="Table Grid"/>
    <w:basedOn w:val="TableauNormal"/>
    <w:uiPriority w:val="39"/>
    <w:rsid w:val="00E60ABC"/>
    <w:pPr>
      <w:spacing w:after="0" w:line="240" w:lineRule="auto"/>
    </w:pPr>
    <w:rPr>
      <w:rFonts w:asciiTheme="majorHAnsi" w:eastAsiaTheme="majorEastAsia" w:hAnsiTheme="majorHAnsi" w:cstheme="majorBid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8003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Kalambay Ntembwa, Dr Hyppolite - bf</dc:creator>
  <cp:lastModifiedBy>Kalambay Ntembwa, Dr Hyppolite - bf</cp:lastModifiedBy>
  <cp:revision>3</cp:revision>
  <dcterms:created xsi:type="dcterms:W3CDTF">2016-02-28T17:00:00Z</dcterms:created>
  <dcterms:modified xsi:type="dcterms:W3CDTF">2016-02-28T17:00:00Z</dcterms:modified>
</cp:coreProperties>
</file>