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553"/>
        <w:gridCol w:w="6201"/>
      </w:tblGrid>
      <w:tr w:rsidR="00D97FF8" w:rsidRPr="003514FB" w:rsidTr="00EC1544">
        <w:tc>
          <w:tcPr>
            <w:tcW w:w="2663" w:type="dxa"/>
            <w:gridSpan w:val="2"/>
            <w:tcBorders>
              <w:top w:val="single" w:sz="4" w:space="0" w:color="auto"/>
              <w:left w:val="single" w:sz="4" w:space="0" w:color="auto"/>
              <w:bottom w:val="single" w:sz="4" w:space="0" w:color="auto"/>
              <w:right w:val="single" w:sz="4" w:space="0" w:color="auto"/>
            </w:tcBorders>
          </w:tcPr>
          <w:p w:rsidR="00D97FF8" w:rsidRPr="003514FB" w:rsidRDefault="00500C53" w:rsidP="00AC527E">
            <w:pPr>
              <w:spacing w:line="360" w:lineRule="auto"/>
              <w:jc w:val="both"/>
              <w:rPr>
                <w:color w:val="000000"/>
              </w:rPr>
            </w:pPr>
            <w:r>
              <w:rPr>
                <w:color w:val="000000"/>
              </w:rPr>
              <w:t>Titre</w:t>
            </w:r>
          </w:p>
        </w:tc>
        <w:tc>
          <w:tcPr>
            <w:tcW w:w="6201" w:type="dxa"/>
            <w:tcBorders>
              <w:top w:val="single" w:sz="4" w:space="0" w:color="auto"/>
              <w:left w:val="single" w:sz="4" w:space="0" w:color="auto"/>
            </w:tcBorders>
          </w:tcPr>
          <w:p w:rsidR="00D97FF8" w:rsidRPr="003514FB" w:rsidRDefault="00D97FF8" w:rsidP="00EC1544">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360" w:lineRule="auto"/>
              <w:jc w:val="both"/>
              <w:rPr>
                <w:color w:val="000000"/>
              </w:rPr>
            </w:pPr>
            <w:r w:rsidRPr="003514FB">
              <w:rPr>
                <w:color w:val="000000"/>
              </w:rPr>
              <w:t>Calcul des couts, pour un PS, d'un modèle de distribution des produits PF basé sur la performance (IPM) au Sénégal</w:t>
            </w:r>
          </w:p>
          <w:p w:rsidR="00D97FF8" w:rsidRPr="003514FB" w:rsidRDefault="00D97FF8" w:rsidP="00AC527E">
            <w:pPr>
              <w:spacing w:line="360" w:lineRule="auto"/>
              <w:jc w:val="both"/>
              <w:rPr>
                <w:color w:val="000000"/>
              </w:rPr>
            </w:pPr>
          </w:p>
        </w:tc>
      </w:tr>
      <w:tr w:rsidR="00D97FF8" w:rsidRPr="003514FB" w:rsidTr="00EC1544">
        <w:tc>
          <w:tcPr>
            <w:tcW w:w="2663" w:type="dxa"/>
            <w:gridSpan w:val="2"/>
            <w:tcBorders>
              <w:top w:val="single" w:sz="4" w:space="0" w:color="auto"/>
              <w:left w:val="single" w:sz="4" w:space="0" w:color="auto"/>
              <w:bottom w:val="single" w:sz="4" w:space="0" w:color="auto"/>
              <w:right w:val="single" w:sz="4" w:space="0" w:color="auto"/>
            </w:tcBorders>
          </w:tcPr>
          <w:p w:rsidR="00D97FF8" w:rsidRPr="003514FB" w:rsidRDefault="00AC527E" w:rsidP="00EC1544">
            <w:pPr>
              <w:spacing w:line="360" w:lineRule="auto"/>
              <w:jc w:val="both"/>
              <w:rPr>
                <w:color w:val="000000"/>
              </w:rPr>
            </w:pPr>
            <w:r w:rsidRPr="003514FB">
              <w:rPr>
                <w:color w:val="000000"/>
              </w:rPr>
              <w:t>Auteur</w:t>
            </w:r>
            <w:r>
              <w:rPr>
                <w:color w:val="000000"/>
              </w:rPr>
              <w:t> :</w:t>
            </w:r>
          </w:p>
        </w:tc>
        <w:tc>
          <w:tcPr>
            <w:tcW w:w="6201" w:type="dxa"/>
            <w:tcBorders>
              <w:top w:val="single" w:sz="4" w:space="0" w:color="auto"/>
              <w:left w:val="single" w:sz="4" w:space="0" w:color="auto"/>
            </w:tcBorders>
          </w:tcPr>
          <w:p w:rsidR="00D97FF8" w:rsidRPr="003514FB" w:rsidRDefault="00AC527E" w:rsidP="00AC527E">
            <w:pPr>
              <w:spacing w:line="360" w:lineRule="auto"/>
              <w:jc w:val="both"/>
              <w:rPr>
                <w:color w:val="000000"/>
              </w:rPr>
            </w:pPr>
            <w:r w:rsidRPr="003514FB">
              <w:rPr>
                <w:color w:val="000000"/>
              </w:rPr>
              <w:t xml:space="preserve">Bakeu Gonhoko Jean-Macaire, </w:t>
            </w:r>
          </w:p>
        </w:tc>
      </w:tr>
      <w:tr w:rsidR="00AC527E" w:rsidRPr="003514FB" w:rsidTr="00EC1544">
        <w:tc>
          <w:tcPr>
            <w:tcW w:w="2663" w:type="dxa"/>
            <w:gridSpan w:val="2"/>
            <w:tcBorders>
              <w:top w:val="single" w:sz="4" w:space="0" w:color="auto"/>
              <w:left w:val="single" w:sz="4" w:space="0" w:color="auto"/>
              <w:bottom w:val="single" w:sz="4" w:space="0" w:color="auto"/>
              <w:right w:val="single" w:sz="4" w:space="0" w:color="auto"/>
            </w:tcBorders>
          </w:tcPr>
          <w:p w:rsidR="00AC527E" w:rsidRPr="003514FB" w:rsidRDefault="00AC527E" w:rsidP="00EC1544">
            <w:pPr>
              <w:spacing w:line="360" w:lineRule="auto"/>
              <w:jc w:val="both"/>
              <w:rPr>
                <w:color w:val="000000"/>
              </w:rPr>
            </w:pPr>
            <w:r w:rsidRPr="003514FB">
              <w:rPr>
                <w:color w:val="000000"/>
              </w:rPr>
              <w:t>Co-auteur</w:t>
            </w:r>
            <w:r>
              <w:rPr>
                <w:color w:val="000000"/>
              </w:rPr>
              <w:t> :</w:t>
            </w:r>
          </w:p>
        </w:tc>
        <w:tc>
          <w:tcPr>
            <w:tcW w:w="6201" w:type="dxa"/>
            <w:tcBorders>
              <w:top w:val="single" w:sz="4" w:space="0" w:color="auto"/>
              <w:left w:val="single" w:sz="4" w:space="0" w:color="auto"/>
            </w:tcBorders>
          </w:tcPr>
          <w:p w:rsidR="00AC527E" w:rsidRPr="003514FB" w:rsidRDefault="00AC527E" w:rsidP="00EC1544">
            <w:pPr>
              <w:spacing w:line="360" w:lineRule="auto"/>
              <w:jc w:val="both"/>
              <w:rPr>
                <w:color w:val="000000"/>
              </w:rPr>
            </w:pPr>
            <w:r w:rsidRPr="003514FB">
              <w:rPr>
                <w:color w:val="000000"/>
              </w:rPr>
              <w:t>Yao Konan Christian</w:t>
            </w:r>
          </w:p>
        </w:tc>
      </w:tr>
      <w:tr w:rsidR="00D97FF8" w:rsidRPr="003514FB" w:rsidTr="00EC1544">
        <w:tc>
          <w:tcPr>
            <w:tcW w:w="1110" w:type="dxa"/>
            <w:vMerge w:val="restart"/>
            <w:tcBorders>
              <w:top w:val="single" w:sz="4" w:space="0" w:color="auto"/>
            </w:tcBorders>
          </w:tcPr>
          <w:p w:rsidR="00D97FF8" w:rsidRPr="003514FB" w:rsidRDefault="00D97FF8" w:rsidP="00EC1544">
            <w:pPr>
              <w:spacing w:line="360" w:lineRule="auto"/>
              <w:jc w:val="both"/>
              <w:rPr>
                <w:color w:val="000000"/>
              </w:rPr>
            </w:pPr>
            <w:r w:rsidRPr="003514FB">
              <w:rPr>
                <w:color w:val="000000"/>
              </w:rPr>
              <w:t xml:space="preserve">Résumé </w:t>
            </w:r>
          </w:p>
        </w:tc>
        <w:tc>
          <w:tcPr>
            <w:tcW w:w="1553" w:type="dxa"/>
            <w:tcBorders>
              <w:top w:val="single" w:sz="4" w:space="0" w:color="auto"/>
            </w:tcBorders>
          </w:tcPr>
          <w:p w:rsidR="00D97FF8" w:rsidRPr="003514FB" w:rsidRDefault="00D97FF8" w:rsidP="00EC1544">
            <w:pPr>
              <w:spacing w:line="360" w:lineRule="auto"/>
              <w:jc w:val="both"/>
              <w:rPr>
                <w:color w:val="000000"/>
              </w:rPr>
            </w:pPr>
            <w:r w:rsidRPr="003514FB">
              <w:rPr>
                <w:color w:val="000000"/>
              </w:rPr>
              <w:t>Introduction</w:t>
            </w:r>
          </w:p>
        </w:tc>
        <w:tc>
          <w:tcPr>
            <w:tcW w:w="6201" w:type="dxa"/>
          </w:tcPr>
          <w:p w:rsidR="00D97FF8" w:rsidRPr="003514FB" w:rsidRDefault="00D97FF8" w:rsidP="00352059">
            <w:pPr>
              <w:spacing w:before="120" w:line="360" w:lineRule="auto"/>
              <w:ind w:left="-82"/>
              <w:jc w:val="both"/>
              <w:rPr>
                <w:color w:val="000000"/>
              </w:rPr>
            </w:pPr>
            <w:r w:rsidRPr="003514FB">
              <w:rPr>
                <w:color w:val="000000"/>
              </w:rPr>
              <w:t>La contractualisation, dans le contexte du Financement Basé sur les Résultats, permet de susciter la Performance dans les Structures de santé. Le modèle IPM « Info Push Model »,  est un modèle qui vise à améliorer la disponibilité des produits de PF aux points de prestation de services (PPS) au Sénégal. Il est mis en œuvre dans le cadre de la collaboration entre l’IntraHealth et le ministère de la santé et de l’action sociale.  L'intervention se compose d'opérateurs privés, contr</w:t>
            </w:r>
            <w:r w:rsidR="00163559">
              <w:rPr>
                <w:color w:val="000000"/>
              </w:rPr>
              <w:t>actés dans chaque région par IH</w:t>
            </w:r>
            <w:r w:rsidR="00352059">
              <w:rPr>
                <w:color w:val="000000"/>
              </w:rPr>
              <w:t>,</w:t>
            </w:r>
            <w:r w:rsidRPr="003514FB">
              <w:rPr>
                <w:color w:val="000000"/>
              </w:rPr>
              <w:t xml:space="preserve"> </w:t>
            </w:r>
            <w:r w:rsidR="00352059">
              <w:rPr>
                <w:color w:val="000000"/>
              </w:rPr>
              <w:t>fournisseur</w:t>
            </w:r>
            <w:r w:rsidRPr="003514FB">
              <w:rPr>
                <w:color w:val="000000"/>
              </w:rPr>
              <w:t xml:space="preserve"> des produits de PF depuis la Pharmacie Régionale d'Approvisionnement (PRA), Jusqu’aux PPS. </w:t>
            </w:r>
          </w:p>
        </w:tc>
      </w:tr>
      <w:tr w:rsidR="00D97FF8" w:rsidRPr="003514FB" w:rsidTr="00EC1544">
        <w:trPr>
          <w:trHeight w:val="416"/>
        </w:trPr>
        <w:tc>
          <w:tcPr>
            <w:tcW w:w="1110" w:type="dxa"/>
            <w:vMerge/>
          </w:tcPr>
          <w:p w:rsidR="00D97FF8" w:rsidRPr="003514FB" w:rsidRDefault="00D97FF8" w:rsidP="00EC1544">
            <w:pPr>
              <w:spacing w:line="360" w:lineRule="auto"/>
              <w:jc w:val="both"/>
              <w:rPr>
                <w:color w:val="000000"/>
              </w:rPr>
            </w:pPr>
          </w:p>
        </w:tc>
        <w:tc>
          <w:tcPr>
            <w:tcW w:w="1553" w:type="dxa"/>
          </w:tcPr>
          <w:p w:rsidR="00D97FF8" w:rsidRPr="003514FB" w:rsidRDefault="00D97FF8" w:rsidP="00EC1544">
            <w:pPr>
              <w:spacing w:line="360" w:lineRule="auto"/>
              <w:jc w:val="both"/>
              <w:rPr>
                <w:color w:val="000000"/>
              </w:rPr>
            </w:pPr>
            <w:r w:rsidRPr="003514FB">
              <w:rPr>
                <w:color w:val="000000"/>
              </w:rPr>
              <w:t>Méthode</w:t>
            </w:r>
          </w:p>
        </w:tc>
        <w:tc>
          <w:tcPr>
            <w:tcW w:w="6201" w:type="dxa"/>
          </w:tcPr>
          <w:p w:rsidR="00D97FF8" w:rsidRPr="003514FB" w:rsidRDefault="00D97FF8" w:rsidP="00EC1544">
            <w:pPr>
              <w:spacing w:before="120" w:line="360" w:lineRule="auto"/>
              <w:jc w:val="both"/>
              <w:rPr>
                <w:color w:val="9CC2E5"/>
              </w:rPr>
            </w:pPr>
            <w:r w:rsidRPr="003514FB">
              <w:rPr>
                <w:color w:val="000000"/>
              </w:rPr>
              <w:t xml:space="preserve"> Le coût de l’intervention dans les PS, sera estimé à travers une approche </w:t>
            </w:r>
            <w:proofErr w:type="spellStart"/>
            <w:r w:rsidRPr="003514FB">
              <w:rPr>
                <w:color w:val="000000"/>
              </w:rPr>
              <w:t>bottom</w:t>
            </w:r>
            <w:proofErr w:type="spellEnd"/>
            <w:r w:rsidRPr="003514FB">
              <w:rPr>
                <w:color w:val="000000"/>
              </w:rPr>
              <w:t>-up permettant d'évaluer le niveau d'utilisation des ressources par modèle d’activité et d’identifier le type de ressources utilisées et de mesurer l'utilisation des ressources afin de calculer les coûts des services spécifiques. Ces méthodes comprennent une combinaison d'approches de mesure directe, dans lesquelles le processus de production est spécifié, les entrées pour chaque processus sont énumérées, leurs prix sont identifiés et leurs coûts sont estimés. Pour cette étude, les méthodes de mesure directes qui seront utilisés sont les suivants: (a) l'examen des documents, la classification des comptes et l'estimation des coûts par catégorie de coûts, et (b) une étude des temps et des mouvements.</w:t>
            </w:r>
          </w:p>
          <w:p w:rsidR="00D97FF8" w:rsidRPr="003514FB" w:rsidRDefault="00D97FF8" w:rsidP="00EC1544">
            <w:pPr>
              <w:spacing w:before="120" w:line="360" w:lineRule="auto"/>
              <w:jc w:val="both"/>
              <w:rPr>
                <w:color w:val="000000"/>
              </w:rPr>
            </w:pPr>
          </w:p>
        </w:tc>
      </w:tr>
      <w:tr w:rsidR="00D97FF8" w:rsidRPr="003514FB" w:rsidTr="00EC1544">
        <w:trPr>
          <w:trHeight w:val="991"/>
        </w:trPr>
        <w:tc>
          <w:tcPr>
            <w:tcW w:w="1110" w:type="dxa"/>
            <w:vMerge/>
          </w:tcPr>
          <w:p w:rsidR="00D97FF8" w:rsidRPr="003514FB" w:rsidRDefault="00D97FF8" w:rsidP="00EC1544">
            <w:pPr>
              <w:spacing w:line="360" w:lineRule="auto"/>
              <w:jc w:val="both"/>
              <w:rPr>
                <w:color w:val="000000"/>
              </w:rPr>
            </w:pPr>
          </w:p>
        </w:tc>
        <w:tc>
          <w:tcPr>
            <w:tcW w:w="1553" w:type="dxa"/>
          </w:tcPr>
          <w:p w:rsidR="00D97FF8" w:rsidRPr="003514FB" w:rsidRDefault="00D97FF8" w:rsidP="00EC1544">
            <w:pPr>
              <w:spacing w:line="360" w:lineRule="auto"/>
              <w:jc w:val="both"/>
              <w:rPr>
                <w:color w:val="000000"/>
              </w:rPr>
            </w:pPr>
            <w:r w:rsidRPr="003514FB">
              <w:rPr>
                <w:color w:val="000000"/>
              </w:rPr>
              <w:t>Résultats</w:t>
            </w:r>
          </w:p>
        </w:tc>
        <w:tc>
          <w:tcPr>
            <w:tcW w:w="6201" w:type="dxa"/>
          </w:tcPr>
          <w:p w:rsidR="00D97FF8" w:rsidRPr="003514FB" w:rsidRDefault="00D97FF8" w:rsidP="004F7389">
            <w:pPr>
              <w:spacing w:before="120" w:line="360" w:lineRule="auto"/>
              <w:jc w:val="both"/>
              <w:rPr>
                <w:color w:val="000000"/>
              </w:rPr>
            </w:pPr>
            <w:r w:rsidRPr="003514FB">
              <w:rPr>
                <w:color w:val="000000"/>
              </w:rPr>
              <w:t>L’intervention permettra de mesurer  l'efficacité et  l'impact de l’intervention sur la santé des populations couverte par le Poste de Santé puis de calculer les coûts  formation et les coûts de démarrage,  Les coûts d'investissement (coûts en capital, les coûts récurrents et les coûts selon les fonctions des chaines d’approvisionnements (Approvisionnement, gestion, stockage, transport)</w:t>
            </w:r>
            <w:r>
              <w:rPr>
                <w:color w:val="000000"/>
              </w:rPr>
              <w:t>.</w:t>
            </w:r>
            <w:r w:rsidRPr="003514FB">
              <w:rPr>
                <w:color w:val="000000"/>
              </w:rPr>
              <w:t>Les</w:t>
            </w:r>
            <w:r w:rsidR="004F7389">
              <w:rPr>
                <w:color w:val="000000"/>
              </w:rPr>
              <w:t xml:space="preserve"> </w:t>
            </w:r>
            <w:r w:rsidRPr="003514FB">
              <w:rPr>
                <w:color w:val="000000"/>
              </w:rPr>
              <w:t>coûts totaux seront estimés en multipliant  quantité par les prix dans toutes les entrées.</w:t>
            </w:r>
          </w:p>
        </w:tc>
      </w:tr>
      <w:tr w:rsidR="00D97FF8" w:rsidRPr="003514FB" w:rsidTr="00EC1544">
        <w:tc>
          <w:tcPr>
            <w:tcW w:w="1110" w:type="dxa"/>
            <w:vMerge/>
          </w:tcPr>
          <w:p w:rsidR="00D97FF8" w:rsidRPr="003514FB" w:rsidRDefault="00D97FF8" w:rsidP="00EC1544">
            <w:pPr>
              <w:spacing w:line="360" w:lineRule="auto"/>
              <w:jc w:val="both"/>
              <w:rPr>
                <w:color w:val="000000"/>
              </w:rPr>
            </w:pPr>
          </w:p>
        </w:tc>
        <w:tc>
          <w:tcPr>
            <w:tcW w:w="1553" w:type="dxa"/>
          </w:tcPr>
          <w:p w:rsidR="00D97FF8" w:rsidRPr="003514FB" w:rsidRDefault="00D97FF8" w:rsidP="00EC1544">
            <w:pPr>
              <w:spacing w:line="360" w:lineRule="auto"/>
              <w:jc w:val="both"/>
              <w:rPr>
                <w:color w:val="000000"/>
              </w:rPr>
            </w:pPr>
            <w:r w:rsidRPr="003514FB">
              <w:rPr>
                <w:color w:val="000000"/>
              </w:rPr>
              <w:t>Conclusion</w:t>
            </w:r>
          </w:p>
        </w:tc>
        <w:tc>
          <w:tcPr>
            <w:tcW w:w="6201" w:type="dxa"/>
          </w:tcPr>
          <w:p w:rsidR="00D97FF8" w:rsidRPr="003514FB" w:rsidRDefault="00D004F2" w:rsidP="00EC1544">
            <w:pPr>
              <w:spacing w:before="120" w:line="360" w:lineRule="auto"/>
              <w:jc w:val="both"/>
              <w:rPr>
                <w:color w:val="000000"/>
              </w:rPr>
            </w:pPr>
            <w:r>
              <w:rPr>
                <w:color w:val="000000"/>
              </w:rPr>
              <w:t>L’IPM</w:t>
            </w:r>
            <w:r w:rsidR="00D97FF8" w:rsidRPr="003514FB">
              <w:rPr>
                <w:color w:val="000000"/>
              </w:rPr>
              <w:t xml:space="preserve"> est un modèle qui favorise la performance des systèmes de santé. Il permettra d’améliorer l’efficience et l’efficacité de la chaine d’approvisionnement des produits PF et partant participera à la réduction de la mortalité maternelle dans les Postes de  Santé. L'étude a montré que plusieurs acteurs et donc sources de financement participent à la mise en œuvre de l’IPM au niveau PS (IH, Etat, comité santé, autres partenaires).</w:t>
            </w:r>
          </w:p>
        </w:tc>
      </w:tr>
      <w:tr w:rsidR="00D97FF8" w:rsidRPr="003514FB" w:rsidTr="00EC1544">
        <w:tc>
          <w:tcPr>
            <w:tcW w:w="2663" w:type="dxa"/>
            <w:gridSpan w:val="2"/>
          </w:tcPr>
          <w:p w:rsidR="00D97FF8" w:rsidRPr="003514FB" w:rsidRDefault="00D97FF8" w:rsidP="00EC1544">
            <w:pPr>
              <w:spacing w:line="360" w:lineRule="auto"/>
              <w:jc w:val="both"/>
              <w:rPr>
                <w:color w:val="000000"/>
              </w:rPr>
            </w:pPr>
            <w:r w:rsidRPr="003514FB">
              <w:rPr>
                <w:color w:val="000000"/>
              </w:rPr>
              <w:t>Mots clés (≤5)</w:t>
            </w:r>
          </w:p>
        </w:tc>
        <w:tc>
          <w:tcPr>
            <w:tcW w:w="6201" w:type="dxa"/>
          </w:tcPr>
          <w:p w:rsidR="00D97FF8" w:rsidRPr="003514FB" w:rsidRDefault="00D97FF8" w:rsidP="00EC1544">
            <w:pPr>
              <w:spacing w:line="360" w:lineRule="auto"/>
              <w:jc w:val="both"/>
              <w:rPr>
                <w:color w:val="000000"/>
              </w:rPr>
            </w:pPr>
            <w:r w:rsidRPr="003514FB">
              <w:rPr>
                <w:color w:val="000000"/>
              </w:rPr>
              <w:t>Calcul de coût, FBP, IPM, Contractualisation, performance,  privé.</w:t>
            </w:r>
            <w:r w:rsidR="00251467">
              <w:rPr>
                <w:color w:val="000000"/>
              </w:rPr>
              <w:t xml:space="preserve"> </w:t>
            </w:r>
            <w:bookmarkStart w:id="0" w:name="_GoBack"/>
            <w:bookmarkEnd w:id="0"/>
            <w:r w:rsidRPr="003514FB">
              <w:rPr>
                <w:color w:val="000000"/>
              </w:rPr>
              <w:t xml:space="preserve">     </w:t>
            </w:r>
          </w:p>
        </w:tc>
      </w:tr>
    </w:tbl>
    <w:p w:rsidR="00D97FF8" w:rsidRDefault="00D97FF8"/>
    <w:sectPr w:rsidR="00D97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F8"/>
    <w:rsid w:val="0002413C"/>
    <w:rsid w:val="000B2A24"/>
    <w:rsid w:val="00163559"/>
    <w:rsid w:val="00251467"/>
    <w:rsid w:val="00265525"/>
    <w:rsid w:val="00352059"/>
    <w:rsid w:val="003779A2"/>
    <w:rsid w:val="004B5801"/>
    <w:rsid w:val="004F7389"/>
    <w:rsid w:val="00500C53"/>
    <w:rsid w:val="00684CBD"/>
    <w:rsid w:val="008431CD"/>
    <w:rsid w:val="00AC527E"/>
    <w:rsid w:val="00CF6499"/>
    <w:rsid w:val="00D004F2"/>
    <w:rsid w:val="00D871A4"/>
    <w:rsid w:val="00D97F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6F543-7BC8-489F-B18A-20B4C1D1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F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9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CE160-AD0F-44F8-85B0-4BD6FEB0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411</Words>
  <Characters>2262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Macaire</dc:creator>
  <cp:keywords/>
  <dc:description/>
  <cp:lastModifiedBy>Macaire</cp:lastModifiedBy>
  <cp:revision>13</cp:revision>
  <dcterms:created xsi:type="dcterms:W3CDTF">2016-02-28T21:33:00Z</dcterms:created>
  <dcterms:modified xsi:type="dcterms:W3CDTF">2016-02-28T22:37:00Z</dcterms:modified>
</cp:coreProperties>
</file>