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75" w:rsidRPr="00720BFB" w:rsidRDefault="00F02F75" w:rsidP="002D1733">
      <w:pPr>
        <w:pBdr>
          <w:bottom w:val="single" w:sz="4" w:space="1" w:color="auto"/>
        </w:pBdr>
        <w:spacing w:after="0" w:line="240" w:lineRule="auto"/>
        <w:jc w:val="center"/>
        <w:rPr>
          <w:rFonts w:asciiTheme="majorHAnsi" w:hAnsiTheme="majorHAnsi" w:cs="Times New Roman"/>
          <w:b/>
          <w:sz w:val="32"/>
          <w:szCs w:val="32"/>
        </w:rPr>
      </w:pPr>
      <w:r w:rsidRPr="00720BFB">
        <w:rPr>
          <w:rFonts w:asciiTheme="majorHAnsi" w:hAnsiTheme="majorHAnsi" w:cs="Times New Roman"/>
          <w:b/>
          <w:sz w:val="32"/>
          <w:szCs w:val="32"/>
        </w:rPr>
        <w:t xml:space="preserve">Opening of Private Wing service on Public Hospitals </w:t>
      </w:r>
    </w:p>
    <w:p w:rsidR="00F02F75" w:rsidRPr="00720BFB" w:rsidRDefault="00F02F75" w:rsidP="002D1733">
      <w:pPr>
        <w:pBdr>
          <w:bottom w:val="single" w:sz="4" w:space="1" w:color="auto"/>
        </w:pBdr>
        <w:spacing w:after="0" w:line="240" w:lineRule="auto"/>
        <w:jc w:val="center"/>
        <w:rPr>
          <w:rFonts w:asciiTheme="majorHAnsi" w:hAnsiTheme="majorHAnsi" w:cs="Times New Roman"/>
          <w:b/>
          <w:sz w:val="32"/>
          <w:szCs w:val="32"/>
        </w:rPr>
      </w:pPr>
      <w:r w:rsidRPr="00720BFB">
        <w:rPr>
          <w:rFonts w:asciiTheme="majorHAnsi" w:hAnsiTheme="majorHAnsi" w:cs="Times New Roman"/>
          <w:b/>
          <w:sz w:val="32"/>
          <w:szCs w:val="32"/>
        </w:rPr>
        <w:t xml:space="preserve">Contribution for health service quality improvement on Addis Ababa City Administration Hospitals </w:t>
      </w:r>
    </w:p>
    <w:p w:rsidR="002D1733" w:rsidRPr="0088151C" w:rsidRDefault="002D1733" w:rsidP="00B5736F">
      <w:pPr>
        <w:shd w:val="clear" w:color="auto" w:fill="FFFFFF"/>
        <w:spacing w:before="120" w:after="120" w:line="360" w:lineRule="auto"/>
        <w:outlineLvl w:val="0"/>
        <w:rPr>
          <w:rFonts w:asciiTheme="majorHAnsi" w:eastAsia="Times New Roman" w:hAnsiTheme="majorHAnsi" w:cs="Arial"/>
          <w:b/>
          <w:bCs/>
          <w:color w:val="000000"/>
          <w:kern w:val="36"/>
          <w:sz w:val="24"/>
          <w:szCs w:val="24"/>
        </w:rPr>
      </w:pPr>
      <w:r w:rsidRPr="0088151C">
        <w:rPr>
          <w:rFonts w:asciiTheme="majorHAnsi" w:eastAsia="Times New Roman" w:hAnsiTheme="majorHAnsi" w:cs="Arial"/>
          <w:b/>
          <w:bCs/>
          <w:color w:val="000000"/>
          <w:kern w:val="36"/>
          <w:sz w:val="24"/>
          <w:szCs w:val="24"/>
        </w:rPr>
        <w:t>Wondwosen Gebeyaw</w:t>
      </w:r>
    </w:p>
    <w:p w:rsidR="002D1733" w:rsidRPr="0088151C" w:rsidRDefault="002D1733" w:rsidP="00B5736F">
      <w:pPr>
        <w:shd w:val="clear" w:color="auto" w:fill="FFFFFF"/>
        <w:spacing w:before="120" w:after="120" w:line="360" w:lineRule="auto"/>
        <w:rPr>
          <w:rFonts w:asciiTheme="majorHAnsi" w:eastAsia="Times New Roman" w:hAnsiTheme="majorHAnsi" w:cs="Arial"/>
          <w:sz w:val="24"/>
          <w:szCs w:val="24"/>
        </w:rPr>
      </w:pPr>
      <w:r w:rsidRPr="0088151C">
        <w:rPr>
          <w:rFonts w:asciiTheme="majorHAnsi" w:eastAsia="Times New Roman" w:hAnsiTheme="majorHAnsi" w:cs="Arial"/>
          <w:sz w:val="24"/>
          <w:szCs w:val="24"/>
        </w:rPr>
        <w:t xml:space="preserve">Health Sector Financing Reform Project, FMoH, Ethiopia </w:t>
      </w:r>
      <w:hyperlink r:id="rId6" w:history="1">
        <w:r w:rsidRPr="0088151C">
          <w:rPr>
            <w:rStyle w:val="Hyperlink"/>
            <w:rFonts w:asciiTheme="majorHAnsi" w:eastAsia="Times New Roman" w:hAnsiTheme="majorHAnsi" w:cs="Arial"/>
            <w:sz w:val="24"/>
            <w:szCs w:val="24"/>
          </w:rPr>
          <w:t>wgebeyaw@hsfreth.org</w:t>
        </w:r>
      </w:hyperlink>
      <w:r w:rsidRPr="0088151C">
        <w:rPr>
          <w:rFonts w:asciiTheme="majorHAnsi" w:eastAsia="Times New Roman" w:hAnsiTheme="majorHAnsi" w:cs="Arial"/>
          <w:sz w:val="24"/>
          <w:szCs w:val="24"/>
        </w:rPr>
        <w:t xml:space="preserve"> </w:t>
      </w:r>
    </w:p>
    <w:p w:rsidR="00F02F75" w:rsidRPr="0088151C" w:rsidRDefault="002D1733" w:rsidP="00B5736F">
      <w:pPr>
        <w:spacing w:before="120" w:after="120" w:line="360" w:lineRule="auto"/>
        <w:rPr>
          <w:rFonts w:asciiTheme="majorHAnsi" w:hAnsiTheme="majorHAnsi" w:cs="Times New Roman"/>
          <w:b/>
          <w:sz w:val="24"/>
          <w:szCs w:val="24"/>
        </w:rPr>
      </w:pPr>
      <w:r w:rsidRPr="0088151C">
        <w:rPr>
          <w:rFonts w:asciiTheme="majorHAnsi" w:hAnsiTheme="majorHAnsi" w:cs="Times New Roman"/>
          <w:b/>
          <w:sz w:val="24"/>
          <w:szCs w:val="24"/>
        </w:rPr>
        <w:t xml:space="preserve">Abstract </w:t>
      </w:r>
    </w:p>
    <w:p w:rsidR="000E3F1E" w:rsidRPr="0088151C" w:rsidRDefault="00B5736F" w:rsidP="00B5736F">
      <w:pPr>
        <w:spacing w:before="120" w:after="120" w:line="360" w:lineRule="auto"/>
        <w:rPr>
          <w:rFonts w:asciiTheme="majorHAnsi" w:hAnsiTheme="majorHAnsi" w:cs="Times New Roman"/>
          <w:b/>
          <w:sz w:val="24"/>
          <w:szCs w:val="24"/>
        </w:rPr>
      </w:pPr>
      <w:bookmarkStart w:id="0" w:name="_GoBack"/>
      <w:r w:rsidRPr="0088151C">
        <w:rPr>
          <w:rFonts w:asciiTheme="majorHAnsi" w:hAnsiTheme="majorHAnsi" w:cs="Times New Roman"/>
          <w:b/>
          <w:sz w:val="24"/>
          <w:szCs w:val="24"/>
        </w:rPr>
        <w:t xml:space="preserve">BACKGROUND </w:t>
      </w:r>
    </w:p>
    <w:p w:rsidR="000E3F1E" w:rsidRPr="0088151C" w:rsidRDefault="000E3F1E" w:rsidP="00B5736F">
      <w:pPr>
        <w:pStyle w:val="ListParagraph"/>
        <w:spacing w:before="120" w:after="120" w:line="360" w:lineRule="auto"/>
        <w:ind w:left="0"/>
        <w:jc w:val="both"/>
        <w:rPr>
          <w:rFonts w:asciiTheme="majorHAnsi" w:hAnsiTheme="majorHAnsi" w:cs="Times New Roman"/>
          <w:sz w:val="24"/>
          <w:szCs w:val="24"/>
        </w:rPr>
      </w:pPr>
      <w:r w:rsidRPr="0088151C">
        <w:rPr>
          <w:rFonts w:asciiTheme="majorHAnsi" w:hAnsiTheme="majorHAnsi" w:cs="Times New Roman"/>
          <w:sz w:val="24"/>
          <w:szCs w:val="24"/>
        </w:rPr>
        <w:t xml:space="preserve">Ethiopia </w:t>
      </w:r>
      <w:r w:rsidR="004E15DC" w:rsidRPr="0088151C">
        <w:rPr>
          <w:rFonts w:asciiTheme="majorHAnsi" w:hAnsiTheme="majorHAnsi" w:cs="Times New Roman"/>
          <w:sz w:val="24"/>
          <w:szCs w:val="24"/>
        </w:rPr>
        <w:t>Ministers council approved Health Care Financing Strategy in1998</w:t>
      </w:r>
      <w:r w:rsidRPr="0088151C">
        <w:rPr>
          <w:rFonts w:asciiTheme="majorHAnsi" w:hAnsiTheme="majorHAnsi" w:cs="Times New Roman"/>
          <w:sz w:val="24"/>
          <w:szCs w:val="24"/>
        </w:rPr>
        <w:t xml:space="preserve">. The strategy aimed at </w:t>
      </w:r>
      <w:r w:rsidR="00FD7F0C" w:rsidRPr="0088151C">
        <w:rPr>
          <w:rFonts w:asciiTheme="majorHAnsi" w:hAnsiTheme="majorHAnsi" w:cs="Times New Roman"/>
          <w:sz w:val="24"/>
          <w:szCs w:val="24"/>
        </w:rPr>
        <w:t xml:space="preserve">policy changes </w:t>
      </w:r>
      <w:r w:rsidR="00FD7F0C">
        <w:rPr>
          <w:rFonts w:asciiTheme="majorHAnsi" w:hAnsiTheme="majorHAnsi" w:cs="Times New Roman"/>
          <w:sz w:val="24"/>
          <w:szCs w:val="24"/>
        </w:rPr>
        <w:t xml:space="preserve">by </w:t>
      </w:r>
      <w:r w:rsidRPr="0088151C">
        <w:rPr>
          <w:rFonts w:asciiTheme="majorHAnsi" w:hAnsiTheme="majorHAnsi" w:cs="Times New Roman"/>
          <w:sz w:val="24"/>
          <w:szCs w:val="24"/>
        </w:rPr>
        <w:t>increasing resources available for the health sector, improving efficiency of resource use, and promo</w:t>
      </w:r>
      <w:r w:rsidR="007435CB">
        <w:rPr>
          <w:rFonts w:asciiTheme="majorHAnsi" w:hAnsiTheme="majorHAnsi" w:cs="Times New Roman"/>
          <w:sz w:val="24"/>
          <w:szCs w:val="24"/>
        </w:rPr>
        <w:t>ting quality sustainability</w:t>
      </w:r>
      <w:r w:rsidRPr="0088151C">
        <w:rPr>
          <w:rFonts w:asciiTheme="majorHAnsi" w:hAnsiTheme="majorHAnsi" w:cs="Times New Roman"/>
          <w:sz w:val="24"/>
          <w:szCs w:val="24"/>
        </w:rPr>
        <w:t xml:space="preserve">. </w:t>
      </w:r>
      <w:r w:rsidR="004E15DC" w:rsidRPr="0088151C">
        <w:rPr>
          <w:rFonts w:asciiTheme="majorHAnsi" w:hAnsiTheme="majorHAnsi" w:cs="Times New Roman"/>
          <w:sz w:val="24"/>
          <w:szCs w:val="24"/>
        </w:rPr>
        <w:t xml:space="preserve">Following </w:t>
      </w:r>
      <w:r w:rsidRPr="0088151C">
        <w:rPr>
          <w:rFonts w:asciiTheme="majorHAnsi" w:hAnsiTheme="majorHAnsi" w:cs="Times New Roman"/>
          <w:sz w:val="24"/>
          <w:szCs w:val="24"/>
        </w:rPr>
        <w:t xml:space="preserve">public hospitals </w:t>
      </w:r>
      <w:r w:rsidR="004E15DC" w:rsidRPr="0088151C">
        <w:rPr>
          <w:rFonts w:asciiTheme="majorHAnsi" w:hAnsiTheme="majorHAnsi" w:cs="Times New Roman"/>
          <w:sz w:val="24"/>
          <w:szCs w:val="24"/>
        </w:rPr>
        <w:t xml:space="preserve">opened </w:t>
      </w:r>
      <w:r w:rsidRPr="0088151C">
        <w:rPr>
          <w:rFonts w:asciiTheme="majorHAnsi" w:hAnsiTheme="majorHAnsi" w:cs="Times New Roman"/>
          <w:sz w:val="24"/>
          <w:szCs w:val="24"/>
        </w:rPr>
        <w:t xml:space="preserve">private wings </w:t>
      </w:r>
      <w:r w:rsidR="004E15DC" w:rsidRPr="0088151C">
        <w:rPr>
          <w:rFonts w:asciiTheme="majorHAnsi" w:hAnsiTheme="majorHAnsi" w:cs="Times New Roman"/>
          <w:sz w:val="24"/>
          <w:szCs w:val="24"/>
        </w:rPr>
        <w:t xml:space="preserve">service </w:t>
      </w:r>
      <w:r w:rsidRPr="0088151C">
        <w:rPr>
          <w:rFonts w:asciiTheme="majorHAnsi" w:hAnsiTheme="majorHAnsi" w:cs="Times New Roman"/>
          <w:sz w:val="24"/>
          <w:szCs w:val="24"/>
        </w:rPr>
        <w:t>intended to improve retention of health professionals</w:t>
      </w:r>
      <w:r w:rsidR="00FD7F0C">
        <w:rPr>
          <w:rFonts w:asciiTheme="majorHAnsi" w:hAnsiTheme="majorHAnsi" w:cs="Times New Roman"/>
          <w:sz w:val="24"/>
          <w:szCs w:val="24"/>
        </w:rPr>
        <w:t xml:space="preserve"> and</w:t>
      </w:r>
      <w:r w:rsidRPr="0088151C">
        <w:rPr>
          <w:rFonts w:asciiTheme="majorHAnsi" w:hAnsiTheme="majorHAnsi" w:cs="Times New Roman"/>
          <w:sz w:val="24"/>
          <w:szCs w:val="24"/>
        </w:rPr>
        <w:t xml:space="preserve"> to look for new sources of revenue in order to expand and strengthen the services they provide</w:t>
      </w:r>
      <w:r w:rsidR="00B5736F" w:rsidRPr="0088151C">
        <w:rPr>
          <w:rFonts w:asciiTheme="majorHAnsi" w:hAnsiTheme="majorHAnsi" w:cs="Times New Roman"/>
          <w:sz w:val="24"/>
          <w:szCs w:val="24"/>
        </w:rPr>
        <w:t xml:space="preserve">, and </w:t>
      </w:r>
      <w:r w:rsidRPr="0088151C">
        <w:rPr>
          <w:rFonts w:asciiTheme="majorHAnsi" w:hAnsiTheme="majorHAnsi" w:cs="Times New Roman"/>
          <w:sz w:val="24"/>
          <w:szCs w:val="24"/>
        </w:rPr>
        <w:t xml:space="preserve">encourages upper income people to pay for healthcare services. </w:t>
      </w:r>
    </w:p>
    <w:p w:rsidR="000E3F1E" w:rsidRPr="0088151C" w:rsidRDefault="00B5736F" w:rsidP="00B5736F">
      <w:pPr>
        <w:spacing w:before="120" w:after="120" w:line="360" w:lineRule="auto"/>
        <w:jc w:val="both"/>
        <w:rPr>
          <w:rFonts w:asciiTheme="majorHAnsi" w:hAnsiTheme="majorHAnsi" w:cs="Times New Roman"/>
          <w:b/>
          <w:sz w:val="24"/>
          <w:szCs w:val="24"/>
        </w:rPr>
      </w:pPr>
      <w:r w:rsidRPr="0088151C">
        <w:rPr>
          <w:rFonts w:asciiTheme="majorHAnsi" w:hAnsiTheme="majorHAnsi" w:cs="Times New Roman"/>
          <w:b/>
          <w:sz w:val="24"/>
          <w:szCs w:val="24"/>
        </w:rPr>
        <w:t xml:space="preserve">OBJECTIVE </w:t>
      </w:r>
    </w:p>
    <w:p w:rsidR="008E2FBE" w:rsidRPr="0088151C" w:rsidRDefault="008E2FBE" w:rsidP="00B5736F">
      <w:pPr>
        <w:pStyle w:val="ListParagraph"/>
        <w:spacing w:before="120" w:after="120" w:line="360" w:lineRule="auto"/>
        <w:ind w:left="0"/>
        <w:jc w:val="both"/>
        <w:rPr>
          <w:rFonts w:asciiTheme="majorHAnsi" w:hAnsiTheme="majorHAnsi" w:cs="Times New Roman"/>
          <w:sz w:val="24"/>
          <w:szCs w:val="24"/>
        </w:rPr>
      </w:pPr>
      <w:r w:rsidRPr="0088151C">
        <w:rPr>
          <w:rFonts w:asciiTheme="majorHAnsi" w:hAnsiTheme="majorHAnsi" w:cs="Times New Roman"/>
          <w:sz w:val="24"/>
          <w:szCs w:val="24"/>
        </w:rPr>
        <w:t xml:space="preserve">The objective of the study is to assess the contribution of opening private wing service in public hospitals for increasing </w:t>
      </w:r>
      <w:r w:rsidR="00FD7F0C">
        <w:rPr>
          <w:rFonts w:asciiTheme="majorHAnsi" w:hAnsiTheme="majorHAnsi" w:cs="Times New Roman"/>
          <w:sz w:val="24"/>
          <w:szCs w:val="24"/>
        </w:rPr>
        <w:t>o</w:t>
      </w:r>
      <w:r w:rsidRPr="0088151C">
        <w:rPr>
          <w:rFonts w:asciiTheme="majorHAnsi" w:hAnsiTheme="majorHAnsi" w:cs="Times New Roman"/>
          <w:sz w:val="24"/>
          <w:szCs w:val="24"/>
        </w:rPr>
        <w:t xml:space="preserve">utpatient visit, </w:t>
      </w:r>
      <w:r w:rsidR="00FD7F0C">
        <w:rPr>
          <w:rFonts w:asciiTheme="majorHAnsi" w:hAnsiTheme="majorHAnsi" w:cs="Times New Roman"/>
          <w:sz w:val="24"/>
          <w:szCs w:val="24"/>
        </w:rPr>
        <w:t>a</w:t>
      </w:r>
      <w:r w:rsidRPr="0088151C">
        <w:rPr>
          <w:rFonts w:asciiTheme="majorHAnsi" w:hAnsiTheme="majorHAnsi" w:cs="Times New Roman"/>
          <w:sz w:val="24"/>
          <w:szCs w:val="24"/>
        </w:rPr>
        <w:t xml:space="preserve">dditional financial resource for public hospitals, supplementary financial incentive for hospital staffs, and price stability role with Private owned health facilities. </w:t>
      </w:r>
    </w:p>
    <w:p w:rsidR="004E15DC" w:rsidRPr="0088151C" w:rsidRDefault="00B5736F" w:rsidP="00B5736F">
      <w:pPr>
        <w:pStyle w:val="ListParagraph"/>
        <w:spacing w:before="120" w:after="120" w:line="360" w:lineRule="auto"/>
        <w:ind w:left="360" w:hanging="360"/>
        <w:jc w:val="both"/>
        <w:rPr>
          <w:rFonts w:asciiTheme="majorHAnsi" w:hAnsiTheme="majorHAnsi" w:cs="Times New Roman"/>
          <w:b/>
          <w:sz w:val="24"/>
          <w:szCs w:val="24"/>
        </w:rPr>
      </w:pPr>
      <w:r w:rsidRPr="0088151C">
        <w:rPr>
          <w:rFonts w:asciiTheme="majorHAnsi" w:hAnsiTheme="majorHAnsi" w:cs="Times New Roman"/>
          <w:b/>
          <w:sz w:val="24"/>
          <w:szCs w:val="24"/>
        </w:rPr>
        <w:t xml:space="preserve">METHODOLOGY </w:t>
      </w:r>
    </w:p>
    <w:p w:rsidR="008E2FBE" w:rsidRPr="0088151C" w:rsidRDefault="008E2FBE" w:rsidP="008E2FBE">
      <w:pPr>
        <w:pStyle w:val="ListParagraph"/>
        <w:spacing w:before="120" w:after="120" w:line="360" w:lineRule="auto"/>
        <w:ind w:left="0"/>
        <w:jc w:val="both"/>
        <w:rPr>
          <w:rFonts w:asciiTheme="majorHAnsi" w:hAnsiTheme="majorHAnsi" w:cs="Times New Roman"/>
          <w:sz w:val="24"/>
          <w:szCs w:val="24"/>
        </w:rPr>
      </w:pPr>
      <w:r w:rsidRPr="0088151C">
        <w:rPr>
          <w:rFonts w:asciiTheme="majorHAnsi" w:hAnsiTheme="majorHAnsi" w:cs="Times New Roman"/>
          <w:sz w:val="24"/>
          <w:szCs w:val="24"/>
        </w:rPr>
        <w:t xml:space="preserve">Four years </w:t>
      </w:r>
      <w:r w:rsidR="00FD7F0C">
        <w:rPr>
          <w:rFonts w:asciiTheme="majorHAnsi" w:hAnsiTheme="majorHAnsi" w:cs="Times New Roman"/>
          <w:sz w:val="24"/>
          <w:szCs w:val="24"/>
        </w:rPr>
        <w:t xml:space="preserve">data collected on </w:t>
      </w:r>
      <w:r w:rsidRPr="0088151C">
        <w:rPr>
          <w:rFonts w:asciiTheme="majorHAnsi" w:hAnsiTheme="majorHAnsi" w:cs="Times New Roman"/>
          <w:sz w:val="24"/>
          <w:szCs w:val="24"/>
        </w:rPr>
        <w:t xml:space="preserve">patient flow data, private wing </w:t>
      </w:r>
      <w:r w:rsidR="007435CB">
        <w:rPr>
          <w:rFonts w:asciiTheme="majorHAnsi" w:hAnsiTheme="majorHAnsi" w:cs="Times New Roman"/>
          <w:sz w:val="24"/>
          <w:szCs w:val="24"/>
        </w:rPr>
        <w:t xml:space="preserve">income and </w:t>
      </w:r>
      <w:r w:rsidRPr="0088151C">
        <w:rPr>
          <w:rFonts w:asciiTheme="majorHAnsi" w:hAnsiTheme="majorHAnsi" w:cs="Times New Roman"/>
          <w:sz w:val="24"/>
          <w:szCs w:val="24"/>
        </w:rPr>
        <w:t>expenditure</w:t>
      </w:r>
      <w:r w:rsidR="007435CB">
        <w:rPr>
          <w:rFonts w:asciiTheme="majorHAnsi" w:hAnsiTheme="majorHAnsi" w:cs="Times New Roman"/>
          <w:sz w:val="24"/>
          <w:szCs w:val="24"/>
        </w:rPr>
        <w:t>,</w:t>
      </w:r>
      <w:r w:rsidRPr="0088151C">
        <w:rPr>
          <w:rFonts w:asciiTheme="majorHAnsi" w:hAnsiTheme="majorHAnsi" w:cs="Times New Roman"/>
          <w:sz w:val="24"/>
          <w:szCs w:val="24"/>
        </w:rPr>
        <w:t xml:space="preserve"> net revenue divided to the health professionals, support staff, and hospital. Besides, key informant interview done from private owned health facilities near to the public hospital operating private wing. The simple qualitative data analyzed</w:t>
      </w:r>
      <w:r w:rsidR="003A52AA" w:rsidRPr="0088151C">
        <w:rPr>
          <w:rFonts w:asciiTheme="majorHAnsi" w:hAnsiTheme="majorHAnsi" w:cs="Times New Roman"/>
          <w:sz w:val="24"/>
          <w:szCs w:val="24"/>
        </w:rPr>
        <w:t xml:space="preserve"> method done. </w:t>
      </w:r>
      <w:r w:rsidRPr="0088151C">
        <w:rPr>
          <w:rFonts w:asciiTheme="majorHAnsi" w:hAnsiTheme="majorHAnsi" w:cs="Times New Roman"/>
          <w:sz w:val="24"/>
          <w:szCs w:val="24"/>
        </w:rPr>
        <w:t xml:space="preserve">     </w:t>
      </w:r>
    </w:p>
    <w:p w:rsidR="003A52AA" w:rsidRPr="0088151C" w:rsidRDefault="00B5736F" w:rsidP="003A52AA">
      <w:pPr>
        <w:spacing w:after="0" w:line="360" w:lineRule="auto"/>
        <w:jc w:val="both"/>
        <w:rPr>
          <w:rFonts w:asciiTheme="majorHAnsi" w:hAnsiTheme="majorHAnsi" w:cs="Times New Roman"/>
          <w:b/>
          <w:sz w:val="24"/>
          <w:szCs w:val="24"/>
        </w:rPr>
      </w:pPr>
      <w:r w:rsidRPr="0088151C">
        <w:rPr>
          <w:rFonts w:asciiTheme="majorHAnsi" w:hAnsiTheme="majorHAnsi" w:cs="Times New Roman"/>
          <w:b/>
          <w:sz w:val="24"/>
          <w:szCs w:val="24"/>
        </w:rPr>
        <w:t xml:space="preserve">FINDINGS </w:t>
      </w:r>
    </w:p>
    <w:p w:rsidR="006A5EAE" w:rsidRPr="00720BFB" w:rsidRDefault="006A5EAE" w:rsidP="003A52AA">
      <w:pPr>
        <w:spacing w:after="0" w:line="360" w:lineRule="auto"/>
        <w:jc w:val="both"/>
        <w:rPr>
          <w:rFonts w:asciiTheme="majorHAnsi" w:hAnsiTheme="majorHAnsi" w:cs="Times New Roman"/>
          <w:sz w:val="24"/>
          <w:szCs w:val="24"/>
        </w:rPr>
      </w:pPr>
      <w:r w:rsidRPr="0088151C">
        <w:rPr>
          <w:rFonts w:asciiTheme="majorHAnsi" w:hAnsiTheme="majorHAnsi" w:cs="Times New Roman"/>
          <w:sz w:val="24"/>
          <w:szCs w:val="24"/>
        </w:rPr>
        <w:t>Among six public hospitals</w:t>
      </w:r>
      <w:r w:rsidR="00FD7F0C">
        <w:rPr>
          <w:rFonts w:asciiTheme="majorHAnsi" w:hAnsiTheme="majorHAnsi" w:cs="Times New Roman"/>
          <w:sz w:val="24"/>
          <w:szCs w:val="24"/>
        </w:rPr>
        <w:t>,</w:t>
      </w:r>
      <w:r w:rsidRPr="0088151C">
        <w:rPr>
          <w:rFonts w:asciiTheme="majorHAnsi" w:hAnsiTheme="majorHAnsi" w:cs="Times New Roman"/>
          <w:sz w:val="24"/>
          <w:szCs w:val="24"/>
        </w:rPr>
        <w:t xml:space="preserve"> five hospitals opened outpatient private wing service</w:t>
      </w:r>
      <w:r w:rsidR="00FD7F0C">
        <w:rPr>
          <w:rFonts w:asciiTheme="majorHAnsi" w:hAnsiTheme="majorHAnsi" w:cs="Times New Roman"/>
          <w:sz w:val="24"/>
          <w:szCs w:val="24"/>
        </w:rPr>
        <w:t xml:space="preserve">. </w:t>
      </w:r>
      <w:r w:rsidRPr="0088151C">
        <w:rPr>
          <w:rFonts w:asciiTheme="majorHAnsi" w:hAnsiTheme="majorHAnsi" w:cs="Times New Roman"/>
          <w:sz w:val="24"/>
          <w:szCs w:val="24"/>
        </w:rPr>
        <w:t xml:space="preserve"> </w:t>
      </w:r>
      <w:r w:rsidR="00FD7F0C">
        <w:rPr>
          <w:rFonts w:asciiTheme="majorHAnsi" w:hAnsiTheme="majorHAnsi" w:cs="Times New Roman"/>
          <w:sz w:val="24"/>
          <w:szCs w:val="24"/>
        </w:rPr>
        <w:t>I</w:t>
      </w:r>
      <w:r w:rsidRPr="0088151C">
        <w:rPr>
          <w:rFonts w:asciiTheme="majorHAnsi" w:hAnsiTheme="majorHAnsi" w:cs="Times New Roman"/>
          <w:sz w:val="24"/>
          <w:szCs w:val="24"/>
        </w:rPr>
        <w:t xml:space="preserve">n 2014/15 among the total outpatient visit, 8% get care in the private wing service, totally 12,841,405 ETB (611,595 USD) </w:t>
      </w:r>
      <w:r w:rsidR="00FD7F0C">
        <w:rPr>
          <w:rFonts w:asciiTheme="majorHAnsi" w:hAnsiTheme="majorHAnsi" w:cs="Times New Roman"/>
          <w:sz w:val="24"/>
          <w:szCs w:val="24"/>
        </w:rPr>
        <w:t xml:space="preserve">revenue </w:t>
      </w:r>
      <w:r w:rsidRPr="0088151C">
        <w:rPr>
          <w:rFonts w:asciiTheme="majorHAnsi" w:hAnsiTheme="majorHAnsi" w:cs="Times New Roman"/>
          <w:sz w:val="24"/>
          <w:szCs w:val="24"/>
        </w:rPr>
        <w:t>generated from private wing service</w:t>
      </w:r>
      <w:r w:rsidR="0056757A" w:rsidRPr="0088151C">
        <w:rPr>
          <w:rFonts w:asciiTheme="majorHAnsi" w:hAnsiTheme="majorHAnsi" w:cs="Times New Roman"/>
          <w:sz w:val="24"/>
          <w:szCs w:val="24"/>
        </w:rPr>
        <w:t xml:space="preserve">. </w:t>
      </w:r>
      <w:r w:rsidR="0056757A" w:rsidRPr="006A5EAE">
        <w:rPr>
          <w:rFonts w:asciiTheme="majorHAnsi" w:eastAsia="Times New Roman" w:hAnsiTheme="majorHAnsi" w:cs="Arial"/>
          <w:sz w:val="24"/>
          <w:szCs w:val="24"/>
        </w:rPr>
        <w:t>8,682,274</w:t>
      </w:r>
      <w:r w:rsidR="0056757A" w:rsidRPr="0088151C">
        <w:rPr>
          <w:rFonts w:asciiTheme="majorHAnsi" w:eastAsia="Times New Roman" w:hAnsiTheme="majorHAnsi" w:cs="Arial"/>
          <w:sz w:val="24"/>
          <w:szCs w:val="24"/>
        </w:rPr>
        <w:t xml:space="preserve"> </w:t>
      </w:r>
      <w:r w:rsidRPr="0088151C">
        <w:rPr>
          <w:rFonts w:asciiTheme="majorHAnsi" w:eastAsia="Times New Roman" w:hAnsiTheme="majorHAnsi" w:cs="Arial"/>
          <w:sz w:val="24"/>
          <w:szCs w:val="24"/>
        </w:rPr>
        <w:t>ETB (</w:t>
      </w:r>
      <w:r w:rsidR="0056757A" w:rsidRPr="0088151C">
        <w:rPr>
          <w:rFonts w:asciiTheme="majorHAnsi" w:eastAsia="Times New Roman" w:hAnsiTheme="majorHAnsi" w:cs="Arial"/>
          <w:sz w:val="24"/>
          <w:szCs w:val="24"/>
        </w:rPr>
        <w:t xml:space="preserve">413,441.62 </w:t>
      </w:r>
      <w:r w:rsidRPr="0088151C">
        <w:rPr>
          <w:rFonts w:asciiTheme="majorHAnsi" w:eastAsia="Times New Roman" w:hAnsiTheme="majorHAnsi" w:cs="Arial"/>
          <w:sz w:val="24"/>
          <w:szCs w:val="24"/>
        </w:rPr>
        <w:t>USD)</w:t>
      </w:r>
      <w:r w:rsidR="0056757A" w:rsidRPr="0088151C">
        <w:rPr>
          <w:rFonts w:asciiTheme="majorHAnsi" w:eastAsia="Times New Roman" w:hAnsiTheme="majorHAnsi" w:cs="Arial"/>
          <w:sz w:val="24"/>
          <w:szCs w:val="24"/>
        </w:rPr>
        <w:t xml:space="preserve"> paid for senior health professionals i.e. 50 – 100% additional income from their monthly salary and hospitals shared </w:t>
      </w:r>
      <w:r w:rsidR="0056757A" w:rsidRPr="006A5EAE">
        <w:rPr>
          <w:rFonts w:asciiTheme="majorHAnsi" w:eastAsia="Times New Roman" w:hAnsiTheme="majorHAnsi" w:cs="Arial"/>
          <w:bCs/>
          <w:iCs/>
          <w:sz w:val="24"/>
          <w:szCs w:val="24"/>
        </w:rPr>
        <w:t>1,859,952</w:t>
      </w:r>
      <w:r w:rsidR="0056757A" w:rsidRPr="0088151C">
        <w:rPr>
          <w:rFonts w:asciiTheme="majorHAnsi" w:eastAsia="Times New Roman" w:hAnsiTheme="majorHAnsi" w:cs="Arial"/>
          <w:b/>
          <w:bCs/>
          <w:i/>
          <w:iCs/>
          <w:sz w:val="24"/>
          <w:szCs w:val="24"/>
        </w:rPr>
        <w:t xml:space="preserve"> </w:t>
      </w:r>
      <w:r w:rsidR="0056757A" w:rsidRPr="0088151C">
        <w:rPr>
          <w:rFonts w:asciiTheme="majorHAnsi" w:eastAsia="Times New Roman" w:hAnsiTheme="majorHAnsi" w:cs="Arial"/>
          <w:sz w:val="24"/>
          <w:szCs w:val="24"/>
        </w:rPr>
        <w:t xml:space="preserve">ETB </w:t>
      </w:r>
      <w:r w:rsidR="0056757A" w:rsidRPr="0088151C">
        <w:rPr>
          <w:rFonts w:asciiTheme="majorHAnsi" w:eastAsia="Times New Roman" w:hAnsiTheme="majorHAnsi" w:cs="Arial"/>
          <w:bCs/>
          <w:iCs/>
          <w:sz w:val="24"/>
          <w:szCs w:val="24"/>
        </w:rPr>
        <w:t>(</w:t>
      </w:r>
      <w:r w:rsidR="0056757A" w:rsidRPr="006A5EAE">
        <w:rPr>
          <w:rFonts w:asciiTheme="majorHAnsi" w:eastAsia="Times New Roman" w:hAnsiTheme="majorHAnsi" w:cs="Arial"/>
          <w:sz w:val="24"/>
          <w:szCs w:val="24"/>
        </w:rPr>
        <w:t>88,569.14</w:t>
      </w:r>
      <w:r w:rsidR="0056757A" w:rsidRPr="0088151C">
        <w:rPr>
          <w:rFonts w:asciiTheme="majorHAnsi" w:eastAsia="Times New Roman" w:hAnsiTheme="majorHAnsi" w:cs="Arial"/>
          <w:sz w:val="24"/>
          <w:szCs w:val="24"/>
        </w:rPr>
        <w:t xml:space="preserve"> USD) additional to government allocated budget for improving health service</w:t>
      </w:r>
      <w:r w:rsidR="00FD7F0C">
        <w:rPr>
          <w:rFonts w:asciiTheme="majorHAnsi" w:eastAsia="Times New Roman" w:hAnsiTheme="majorHAnsi" w:cs="Arial"/>
          <w:sz w:val="24"/>
          <w:szCs w:val="24"/>
        </w:rPr>
        <w:t xml:space="preserve"> quality</w:t>
      </w:r>
      <w:r w:rsidR="0056757A" w:rsidRPr="0088151C">
        <w:rPr>
          <w:rFonts w:asciiTheme="majorHAnsi" w:eastAsia="Times New Roman" w:hAnsiTheme="majorHAnsi" w:cs="Arial"/>
          <w:sz w:val="24"/>
          <w:szCs w:val="24"/>
        </w:rPr>
        <w:t>.</w:t>
      </w:r>
      <w:r w:rsidR="0056757A" w:rsidRPr="00720BFB">
        <w:rPr>
          <w:rFonts w:asciiTheme="majorHAnsi" w:eastAsia="Times New Roman" w:hAnsiTheme="majorHAnsi" w:cs="Arial"/>
          <w:sz w:val="24"/>
          <w:szCs w:val="24"/>
        </w:rPr>
        <w:t xml:space="preserve">   </w:t>
      </w:r>
    </w:p>
    <w:p w:rsidR="006D5F56" w:rsidRPr="00720BFB" w:rsidRDefault="006D5F56" w:rsidP="00B5736F">
      <w:pPr>
        <w:pStyle w:val="ListParagraph"/>
        <w:spacing w:before="120" w:after="120" w:line="360" w:lineRule="auto"/>
        <w:ind w:left="360" w:hanging="360"/>
        <w:jc w:val="both"/>
        <w:rPr>
          <w:rFonts w:asciiTheme="majorHAnsi" w:hAnsiTheme="majorHAnsi" w:cs="Times New Roman"/>
          <w:b/>
          <w:sz w:val="24"/>
          <w:szCs w:val="24"/>
        </w:rPr>
      </w:pPr>
      <w:r w:rsidRPr="00720BFB">
        <w:rPr>
          <w:rFonts w:asciiTheme="majorHAnsi" w:hAnsiTheme="majorHAnsi"/>
          <w:noProof/>
        </w:rPr>
        <w:lastRenderedPageBreak/>
        <w:drawing>
          <wp:inline distT="0" distB="0" distL="0" distR="0" wp14:anchorId="489D731B" wp14:editId="5B55B530">
            <wp:extent cx="5943600" cy="3314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46F0" w:rsidRPr="0088151C" w:rsidRDefault="00130F55" w:rsidP="0088151C">
      <w:pPr>
        <w:spacing w:before="120" w:after="120" w:line="360" w:lineRule="auto"/>
        <w:jc w:val="both"/>
        <w:rPr>
          <w:rFonts w:asciiTheme="majorHAnsi" w:hAnsiTheme="majorHAnsi" w:cs="Times New Roman"/>
          <w:color w:val="000000" w:themeColor="text1"/>
          <w:sz w:val="24"/>
          <w:szCs w:val="24"/>
        </w:rPr>
      </w:pPr>
      <w:r w:rsidRPr="0088151C">
        <w:rPr>
          <w:rFonts w:asciiTheme="majorHAnsi" w:hAnsiTheme="majorHAnsi" w:cs="Times New Roman"/>
          <w:sz w:val="24"/>
          <w:szCs w:val="24"/>
        </w:rPr>
        <w:t>Private health facilities consider</w:t>
      </w:r>
      <w:r w:rsidR="00FD7F0C">
        <w:rPr>
          <w:rFonts w:asciiTheme="majorHAnsi" w:hAnsiTheme="majorHAnsi" w:cs="Times New Roman"/>
          <w:sz w:val="24"/>
          <w:szCs w:val="24"/>
        </w:rPr>
        <w:t>s</w:t>
      </w:r>
      <w:r w:rsidR="003846F0" w:rsidRPr="0088151C">
        <w:rPr>
          <w:rFonts w:asciiTheme="majorHAnsi" w:hAnsiTheme="majorHAnsi" w:cs="Times New Roman"/>
          <w:sz w:val="24"/>
          <w:szCs w:val="24"/>
        </w:rPr>
        <w:t xml:space="preserve"> </w:t>
      </w:r>
      <w:r w:rsidRPr="0088151C">
        <w:rPr>
          <w:rFonts w:asciiTheme="majorHAnsi" w:hAnsiTheme="majorHAnsi" w:cs="Times New Roman"/>
          <w:sz w:val="24"/>
          <w:szCs w:val="24"/>
        </w:rPr>
        <w:t xml:space="preserve">private wings as rivalry and </w:t>
      </w:r>
      <w:r w:rsidR="003846F0" w:rsidRPr="0088151C">
        <w:rPr>
          <w:rFonts w:asciiTheme="majorHAnsi" w:hAnsiTheme="majorHAnsi" w:cs="Times New Roman"/>
          <w:color w:val="000000" w:themeColor="text1"/>
          <w:sz w:val="24"/>
          <w:szCs w:val="24"/>
        </w:rPr>
        <w:t>specialists’</w:t>
      </w:r>
      <w:r w:rsidR="003846F0" w:rsidRPr="0088151C">
        <w:rPr>
          <w:rFonts w:asciiTheme="majorHAnsi" w:hAnsiTheme="majorHAnsi" w:cs="Times New Roman"/>
          <w:color w:val="000000" w:themeColor="text1"/>
          <w:sz w:val="24"/>
          <w:szCs w:val="24"/>
        </w:rPr>
        <w:t xml:space="preserve"> </w:t>
      </w:r>
      <w:r w:rsidR="003846F0" w:rsidRPr="0088151C">
        <w:rPr>
          <w:rFonts w:asciiTheme="majorHAnsi" w:hAnsiTheme="majorHAnsi" w:cs="Times New Roman"/>
          <w:color w:val="000000" w:themeColor="text1"/>
          <w:sz w:val="24"/>
          <w:szCs w:val="24"/>
        </w:rPr>
        <w:t xml:space="preserve">halt </w:t>
      </w:r>
      <w:r w:rsidR="003846F0" w:rsidRPr="0088151C">
        <w:rPr>
          <w:rFonts w:asciiTheme="majorHAnsi" w:hAnsiTheme="majorHAnsi" w:cs="Times New Roman"/>
          <w:color w:val="000000" w:themeColor="text1"/>
          <w:sz w:val="24"/>
          <w:szCs w:val="24"/>
        </w:rPr>
        <w:t xml:space="preserve">working in private facilities or spent their part time in public hospitals attracted </w:t>
      </w:r>
      <w:r w:rsidR="003846F0" w:rsidRPr="0088151C">
        <w:rPr>
          <w:rFonts w:asciiTheme="majorHAnsi" w:hAnsiTheme="majorHAnsi" w:cs="Times New Roman"/>
          <w:color w:val="000000" w:themeColor="text1"/>
          <w:sz w:val="24"/>
          <w:szCs w:val="24"/>
        </w:rPr>
        <w:t xml:space="preserve">patients </w:t>
      </w:r>
      <w:r w:rsidR="003846F0" w:rsidRPr="0088151C">
        <w:rPr>
          <w:rFonts w:asciiTheme="majorHAnsi" w:hAnsiTheme="majorHAnsi" w:cs="Times New Roman"/>
          <w:color w:val="000000" w:themeColor="text1"/>
          <w:sz w:val="24"/>
          <w:szCs w:val="24"/>
        </w:rPr>
        <w:t>to public hospitals resulting reduc</w:t>
      </w:r>
      <w:r w:rsidR="003846F0" w:rsidRPr="0088151C">
        <w:rPr>
          <w:rFonts w:asciiTheme="majorHAnsi" w:hAnsiTheme="majorHAnsi" w:cs="Times New Roman"/>
          <w:color w:val="000000" w:themeColor="text1"/>
          <w:sz w:val="24"/>
          <w:szCs w:val="24"/>
        </w:rPr>
        <w:t xml:space="preserve">e </w:t>
      </w:r>
      <w:r w:rsidR="003846F0" w:rsidRPr="0088151C">
        <w:rPr>
          <w:rFonts w:asciiTheme="majorHAnsi" w:hAnsiTheme="majorHAnsi" w:cs="Times New Roman"/>
          <w:color w:val="000000" w:themeColor="text1"/>
          <w:sz w:val="24"/>
          <w:szCs w:val="24"/>
        </w:rPr>
        <w:t>in patient flow and revenue</w:t>
      </w:r>
      <w:r w:rsidR="003846F0" w:rsidRPr="0088151C">
        <w:rPr>
          <w:rFonts w:asciiTheme="majorHAnsi" w:hAnsiTheme="majorHAnsi" w:cs="Times New Roman"/>
          <w:color w:val="000000" w:themeColor="text1"/>
          <w:sz w:val="24"/>
          <w:szCs w:val="24"/>
        </w:rPr>
        <w:t xml:space="preserve">. </w:t>
      </w:r>
      <w:r w:rsidRPr="0088151C">
        <w:rPr>
          <w:rFonts w:asciiTheme="majorHAnsi" w:hAnsiTheme="majorHAnsi" w:cs="Times New Roman"/>
          <w:color w:val="000000" w:themeColor="text1"/>
          <w:sz w:val="24"/>
          <w:szCs w:val="24"/>
        </w:rPr>
        <w:t xml:space="preserve">Actually the opening of private wing in public hospitals initiate private facilities to improve their service quality, work on client satisfaction, user fee reduction, modernize the health service, and identify to fill the market gaps in public hospital. </w:t>
      </w:r>
    </w:p>
    <w:p w:rsidR="004E15DC" w:rsidRPr="0088151C" w:rsidRDefault="00B5736F" w:rsidP="0088151C">
      <w:pPr>
        <w:pStyle w:val="ListParagraph"/>
        <w:spacing w:before="120" w:after="120" w:line="360" w:lineRule="auto"/>
        <w:ind w:left="360" w:hanging="360"/>
        <w:jc w:val="both"/>
        <w:rPr>
          <w:rFonts w:asciiTheme="majorHAnsi" w:hAnsiTheme="majorHAnsi" w:cs="Times New Roman"/>
          <w:b/>
          <w:sz w:val="24"/>
          <w:szCs w:val="24"/>
        </w:rPr>
      </w:pPr>
      <w:r w:rsidRPr="0088151C">
        <w:rPr>
          <w:rFonts w:asciiTheme="majorHAnsi" w:hAnsiTheme="majorHAnsi" w:cs="Times New Roman"/>
          <w:b/>
          <w:sz w:val="24"/>
          <w:szCs w:val="24"/>
        </w:rPr>
        <w:t>CONCLUSION</w:t>
      </w:r>
    </w:p>
    <w:p w:rsidR="000E3F1E" w:rsidRPr="00720BFB" w:rsidRDefault="0088151C" w:rsidP="006C0EA8">
      <w:pPr>
        <w:spacing w:before="120" w:after="120" w:line="360" w:lineRule="auto"/>
        <w:jc w:val="both"/>
        <w:rPr>
          <w:rFonts w:asciiTheme="majorHAnsi" w:hAnsiTheme="majorHAnsi"/>
          <w:sz w:val="24"/>
          <w:szCs w:val="24"/>
        </w:rPr>
      </w:pPr>
      <w:r>
        <w:rPr>
          <w:rFonts w:asciiTheme="majorHAnsi" w:hAnsiTheme="majorHAnsi"/>
          <w:sz w:val="24"/>
          <w:szCs w:val="24"/>
        </w:rPr>
        <w:t>F</w:t>
      </w:r>
      <w:r w:rsidR="00720BFB" w:rsidRPr="0088151C">
        <w:rPr>
          <w:rFonts w:asciiTheme="majorHAnsi" w:hAnsiTheme="majorHAnsi"/>
          <w:sz w:val="24"/>
          <w:szCs w:val="24"/>
        </w:rPr>
        <w:t>indings of th</w:t>
      </w:r>
      <w:r>
        <w:rPr>
          <w:rFonts w:asciiTheme="majorHAnsi" w:hAnsiTheme="majorHAnsi"/>
          <w:sz w:val="24"/>
          <w:szCs w:val="24"/>
        </w:rPr>
        <w:t>e study indicates</w:t>
      </w:r>
      <w:r w:rsidR="00720BFB" w:rsidRPr="0088151C">
        <w:rPr>
          <w:rFonts w:asciiTheme="majorHAnsi" w:hAnsiTheme="majorHAnsi"/>
          <w:sz w:val="24"/>
          <w:szCs w:val="24"/>
        </w:rPr>
        <w:t xml:space="preserve">, </w:t>
      </w:r>
      <w:r w:rsidR="00FD7F0C">
        <w:rPr>
          <w:rFonts w:asciiTheme="majorHAnsi" w:hAnsiTheme="majorHAnsi"/>
          <w:sz w:val="24"/>
          <w:szCs w:val="24"/>
        </w:rPr>
        <w:t>private wing</w:t>
      </w:r>
      <w:r w:rsidR="00720BFB" w:rsidRPr="0088151C">
        <w:rPr>
          <w:rFonts w:asciiTheme="majorHAnsi" w:hAnsiTheme="majorHAnsi"/>
          <w:sz w:val="24"/>
          <w:szCs w:val="24"/>
        </w:rPr>
        <w:t xml:space="preserve"> demanded by the health facility staff and contribut</w:t>
      </w:r>
      <w:r w:rsidR="00FD7F0C">
        <w:rPr>
          <w:rFonts w:asciiTheme="majorHAnsi" w:hAnsiTheme="majorHAnsi"/>
          <w:sz w:val="24"/>
          <w:szCs w:val="24"/>
        </w:rPr>
        <w:t xml:space="preserve">es </w:t>
      </w:r>
      <w:r w:rsidR="00720BFB" w:rsidRPr="0088151C">
        <w:rPr>
          <w:rFonts w:asciiTheme="majorHAnsi" w:hAnsiTheme="majorHAnsi"/>
          <w:sz w:val="24"/>
          <w:szCs w:val="24"/>
        </w:rPr>
        <w:t xml:space="preserve">on the retention of senior health professional in the hospitals, and the hospitals are improving the health service quality with the additional revenue generated from private wing services. </w:t>
      </w:r>
      <w:r>
        <w:rPr>
          <w:rFonts w:asciiTheme="majorHAnsi" w:hAnsiTheme="majorHAnsi"/>
          <w:sz w:val="24"/>
          <w:szCs w:val="24"/>
        </w:rPr>
        <w:t xml:space="preserve">Hospital </w:t>
      </w:r>
      <w:r w:rsidR="00720BFB" w:rsidRPr="0088151C">
        <w:rPr>
          <w:rFonts w:asciiTheme="majorHAnsi" w:hAnsiTheme="majorHAnsi"/>
          <w:sz w:val="24"/>
          <w:szCs w:val="24"/>
        </w:rPr>
        <w:t xml:space="preserve">staffs are motivated to work in the public hospital with the additional incentive. </w:t>
      </w:r>
      <w:r>
        <w:rPr>
          <w:rFonts w:asciiTheme="majorHAnsi" w:hAnsiTheme="majorHAnsi"/>
          <w:sz w:val="24"/>
          <w:szCs w:val="24"/>
        </w:rPr>
        <w:t xml:space="preserve">Patients </w:t>
      </w:r>
      <w:r w:rsidR="00FD7F0C">
        <w:rPr>
          <w:rFonts w:asciiTheme="majorHAnsi" w:hAnsiTheme="majorHAnsi"/>
          <w:sz w:val="24"/>
          <w:szCs w:val="24"/>
        </w:rPr>
        <w:t xml:space="preserve">attracted to public hospitals and </w:t>
      </w:r>
      <w:r w:rsidR="00720BFB" w:rsidRPr="0088151C">
        <w:rPr>
          <w:rFonts w:asciiTheme="majorHAnsi" w:hAnsiTheme="majorHAnsi"/>
          <w:sz w:val="24"/>
          <w:szCs w:val="24"/>
        </w:rPr>
        <w:t xml:space="preserve">examined by most senior specialists by their choice with preferred time. </w:t>
      </w:r>
      <w:r>
        <w:rPr>
          <w:rFonts w:asciiTheme="majorHAnsi" w:hAnsiTheme="majorHAnsi"/>
          <w:sz w:val="24"/>
          <w:szCs w:val="24"/>
        </w:rPr>
        <w:t>Private health facilities a</w:t>
      </w:r>
      <w:r w:rsidR="00077D1A">
        <w:rPr>
          <w:rFonts w:asciiTheme="majorHAnsi" w:hAnsiTheme="majorHAnsi"/>
          <w:sz w:val="24"/>
          <w:szCs w:val="24"/>
        </w:rPr>
        <w:t xml:space="preserve">nd </w:t>
      </w:r>
      <w:r w:rsidRPr="0088151C">
        <w:rPr>
          <w:rFonts w:asciiTheme="majorHAnsi" w:hAnsiTheme="majorHAnsi"/>
          <w:sz w:val="24"/>
          <w:szCs w:val="24"/>
        </w:rPr>
        <w:t xml:space="preserve">public hospitals compete with the market and the health service </w:t>
      </w:r>
      <w:r w:rsidR="00FD7F0C">
        <w:rPr>
          <w:rFonts w:asciiTheme="majorHAnsi" w:hAnsiTheme="majorHAnsi"/>
          <w:sz w:val="24"/>
          <w:szCs w:val="24"/>
        </w:rPr>
        <w:t xml:space="preserve">user </w:t>
      </w:r>
      <w:r w:rsidRPr="0088151C">
        <w:rPr>
          <w:rFonts w:asciiTheme="majorHAnsi" w:hAnsiTheme="majorHAnsi"/>
          <w:sz w:val="24"/>
          <w:szCs w:val="24"/>
        </w:rPr>
        <w:t xml:space="preserve">fee </w:t>
      </w:r>
      <w:r w:rsidR="00077D1A">
        <w:rPr>
          <w:rFonts w:asciiTheme="majorHAnsi" w:hAnsiTheme="majorHAnsi"/>
          <w:sz w:val="24"/>
          <w:szCs w:val="24"/>
        </w:rPr>
        <w:t>can</w:t>
      </w:r>
      <w:r w:rsidRPr="0088151C">
        <w:rPr>
          <w:rFonts w:asciiTheme="majorHAnsi" w:hAnsiTheme="majorHAnsi"/>
          <w:sz w:val="24"/>
          <w:szCs w:val="24"/>
        </w:rPr>
        <w:t xml:space="preserve"> be stabilized</w:t>
      </w:r>
      <w:r w:rsidR="00077D1A">
        <w:rPr>
          <w:rFonts w:asciiTheme="majorHAnsi" w:hAnsiTheme="majorHAnsi"/>
          <w:sz w:val="24"/>
          <w:szCs w:val="24"/>
        </w:rPr>
        <w:t xml:space="preserve">. The overall impact </w:t>
      </w:r>
      <w:r w:rsidR="00720BFB" w:rsidRPr="0088151C">
        <w:rPr>
          <w:rFonts w:asciiTheme="majorHAnsi" w:hAnsiTheme="majorHAnsi"/>
          <w:sz w:val="24"/>
          <w:szCs w:val="24"/>
        </w:rPr>
        <w:t>of all these i.e. if private wing services expanded and if private health facilities improve their health service quality and modernize service in response to private wing competition, the public become at most beneficiary of the</w:t>
      </w:r>
      <w:r w:rsidR="006C0EA8">
        <w:rPr>
          <w:rFonts w:asciiTheme="majorHAnsi" w:hAnsiTheme="majorHAnsi"/>
          <w:sz w:val="24"/>
          <w:szCs w:val="24"/>
        </w:rPr>
        <w:t xml:space="preserve"> health service outcome.   </w:t>
      </w:r>
      <w:bookmarkEnd w:id="0"/>
    </w:p>
    <w:sectPr w:rsidR="000E3F1E" w:rsidRPr="00720BFB" w:rsidSect="007435CB">
      <w:pgSz w:w="12240" w:h="15840"/>
      <w:pgMar w:top="720" w:right="135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E4D"/>
    <w:multiLevelType w:val="hybridMultilevel"/>
    <w:tmpl w:val="B9EE6708"/>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3060"/>
        </w:tabs>
        <w:ind w:left="3060" w:hanging="360"/>
      </w:pPr>
      <w:rPr>
        <w:rFonts w:ascii="Courier New" w:hAnsi="Courier New" w:cs="Courier New"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CEB3F9B"/>
    <w:multiLevelType w:val="hybridMultilevel"/>
    <w:tmpl w:val="48FEC6D8"/>
    <w:lvl w:ilvl="0" w:tplc="04090001">
      <w:start w:val="1"/>
      <w:numFmt w:val="bullet"/>
      <w:lvlText w:val=""/>
      <w:lvlJc w:val="left"/>
      <w:pPr>
        <w:tabs>
          <w:tab w:val="num" w:pos="360"/>
        </w:tabs>
        <w:ind w:left="360" w:hanging="360"/>
      </w:pPr>
      <w:rPr>
        <w:rFonts w:ascii="Symbol" w:hAnsi="Symbol" w:hint="default"/>
        <w:b/>
        <w:color w:val="000000"/>
      </w:rPr>
    </w:lvl>
    <w:lvl w:ilvl="1" w:tplc="04090001">
      <w:start w:val="1"/>
      <w:numFmt w:val="bullet"/>
      <w:lvlText w:val=""/>
      <w:lvlJc w:val="left"/>
      <w:pPr>
        <w:tabs>
          <w:tab w:val="num" w:pos="1170"/>
        </w:tabs>
        <w:ind w:left="1170" w:hanging="360"/>
      </w:pPr>
      <w:rPr>
        <w:rFonts w:ascii="Symbol" w:hAnsi="Symbol" w:hint="default"/>
      </w:rPr>
    </w:lvl>
    <w:lvl w:ilvl="2" w:tplc="02D4CAE0">
      <w:start w:val="1"/>
      <w:numFmt w:val="bullet"/>
      <w:lvlText w:val=""/>
      <w:lvlJc w:val="left"/>
      <w:pPr>
        <w:tabs>
          <w:tab w:val="num" w:pos="2160"/>
        </w:tabs>
        <w:ind w:left="2160" w:hanging="360"/>
      </w:pPr>
      <w:rPr>
        <w:rFonts w:ascii="Wingdings" w:hAnsi="Wingdings" w:hint="default"/>
      </w:rPr>
    </w:lvl>
    <w:lvl w:ilvl="3" w:tplc="2728B65E">
      <w:start w:val="1"/>
      <w:numFmt w:val="lowerLetter"/>
      <w:lvlText w:val="%4)"/>
      <w:lvlJc w:val="left"/>
      <w:pPr>
        <w:ind w:left="2880" w:hanging="360"/>
      </w:pPr>
    </w:lvl>
    <w:lvl w:ilvl="4" w:tplc="6D806502">
      <w:start w:val="1"/>
      <w:numFmt w:val="bullet"/>
      <w:lvlText w:val=""/>
      <w:lvlJc w:val="left"/>
      <w:pPr>
        <w:tabs>
          <w:tab w:val="num" w:pos="3600"/>
        </w:tabs>
        <w:ind w:left="3600" w:hanging="360"/>
      </w:pPr>
      <w:rPr>
        <w:rFonts w:ascii="Wingdings" w:hAnsi="Wingdings" w:hint="default"/>
      </w:rPr>
    </w:lvl>
    <w:lvl w:ilvl="5" w:tplc="66D09190">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873A4CD0">
      <w:start w:val="1"/>
      <w:numFmt w:val="bullet"/>
      <w:lvlText w:val=""/>
      <w:lvlJc w:val="left"/>
      <w:pPr>
        <w:tabs>
          <w:tab w:val="num" w:pos="5760"/>
        </w:tabs>
        <w:ind w:left="5760" w:hanging="360"/>
      </w:pPr>
      <w:rPr>
        <w:rFonts w:ascii="Wingdings" w:hAnsi="Wingdings" w:hint="default"/>
      </w:rPr>
    </w:lvl>
    <w:lvl w:ilvl="8" w:tplc="3EBACDA6">
      <w:start w:val="1"/>
      <w:numFmt w:val="bullet"/>
      <w:lvlText w:val=""/>
      <w:lvlJc w:val="left"/>
      <w:pPr>
        <w:tabs>
          <w:tab w:val="num" w:pos="6480"/>
        </w:tabs>
        <w:ind w:left="6480" w:hanging="360"/>
      </w:pPr>
      <w:rPr>
        <w:rFonts w:ascii="Wingdings" w:hAnsi="Wingdings" w:hint="default"/>
      </w:rPr>
    </w:lvl>
  </w:abstractNum>
  <w:abstractNum w:abstractNumId="2">
    <w:nsid w:val="1539654E"/>
    <w:multiLevelType w:val="hybridMultilevel"/>
    <w:tmpl w:val="E32E1410"/>
    <w:lvl w:ilvl="0" w:tplc="AF329BF0">
      <w:start w:val="1"/>
      <w:numFmt w:val="bullet"/>
      <w:lvlText w:val="–"/>
      <w:lvlJc w:val="left"/>
      <w:pPr>
        <w:ind w:left="1980" w:hanging="360"/>
      </w:pPr>
      <w:rPr>
        <w:rFonts w:ascii="Times New Roman" w:hAnsi="Times New Roman" w:hint="default"/>
      </w:rPr>
    </w:lvl>
    <w:lvl w:ilvl="1" w:tplc="04090003">
      <w:start w:val="1"/>
      <w:numFmt w:val="bullet"/>
      <w:lvlText w:val="o"/>
      <w:lvlJc w:val="left"/>
      <w:pPr>
        <w:ind w:left="2700" w:hanging="360"/>
      </w:pPr>
      <w:rPr>
        <w:rFonts w:ascii="Courier New" w:hAnsi="Courier New" w:cs="Courier New" w:hint="default"/>
      </w:rPr>
    </w:lvl>
    <w:lvl w:ilvl="2" w:tplc="0409000D">
      <w:start w:val="1"/>
      <w:numFmt w:val="bullet"/>
      <w:lvlText w:val=""/>
      <w:lvlJc w:val="left"/>
      <w:pPr>
        <w:ind w:left="3420" w:hanging="360"/>
      </w:pPr>
      <w:rPr>
        <w:rFonts w:ascii="Wingdings" w:hAnsi="Wingdings" w:hint="default"/>
      </w:rPr>
    </w:lvl>
    <w:lvl w:ilvl="3" w:tplc="2550FB0E">
      <w:start w:val="5"/>
      <w:numFmt w:val="bullet"/>
      <w:lvlText w:val="-"/>
      <w:lvlJc w:val="left"/>
      <w:pPr>
        <w:ind w:left="4140" w:hanging="360"/>
      </w:pPr>
      <w:rPr>
        <w:rFonts w:ascii="Cambria" w:eastAsiaTheme="minorHAnsi" w:hAnsi="Cambria" w:cstheme="minorBidi"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621A88"/>
    <w:multiLevelType w:val="hybridMultilevel"/>
    <w:tmpl w:val="9C2A9868"/>
    <w:lvl w:ilvl="0" w:tplc="DB9217CA">
      <w:start w:val="1"/>
      <w:numFmt w:val="decimal"/>
      <w:lvlText w:val="%1."/>
      <w:lvlJc w:val="left"/>
      <w:pPr>
        <w:ind w:left="360" w:hanging="360"/>
      </w:pPr>
      <w:rPr>
        <w:rFonts w:hint="default"/>
        <w:b/>
      </w:rPr>
    </w:lvl>
    <w:lvl w:ilvl="1" w:tplc="79F8AB00">
      <w:start w:val="1"/>
      <w:numFmt w:val="decimal"/>
      <w:lvlText w:val="%2."/>
      <w:lvlJc w:val="left"/>
      <w:pPr>
        <w:ind w:left="1080" w:hanging="360"/>
      </w:pPr>
      <w:rPr>
        <w:rFonts w:ascii="Calibri" w:eastAsia="Calibri" w:hAnsi="Calibri" w:cs="Calibri"/>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7E4EB1"/>
    <w:multiLevelType w:val="hybridMultilevel"/>
    <w:tmpl w:val="3E48CB3A"/>
    <w:lvl w:ilvl="0" w:tplc="AF329BF0">
      <w:start w:val="1"/>
      <w:numFmt w:val="bullet"/>
      <w:lvlText w:val="–"/>
      <w:lvlJc w:val="left"/>
      <w:pPr>
        <w:ind w:left="1710" w:hanging="360"/>
      </w:pPr>
      <w:rPr>
        <w:rFonts w:ascii="Times New Roman" w:hAnsi="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EFB28B9"/>
    <w:multiLevelType w:val="multilevel"/>
    <w:tmpl w:val="0DE8F8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FEE1534"/>
    <w:multiLevelType w:val="hybridMultilevel"/>
    <w:tmpl w:val="6110FDF4"/>
    <w:lvl w:ilvl="0" w:tplc="AF329BF0">
      <w:start w:val="1"/>
      <w:numFmt w:val="bullet"/>
      <w:lvlText w:val="–"/>
      <w:lvlJc w:val="left"/>
      <w:pPr>
        <w:ind w:left="2070" w:hanging="360"/>
      </w:pPr>
      <w:rPr>
        <w:rFonts w:ascii="Times New Roman" w:hAnsi="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20EC364A"/>
    <w:multiLevelType w:val="hybridMultilevel"/>
    <w:tmpl w:val="024A0C3A"/>
    <w:lvl w:ilvl="0" w:tplc="6E0AF70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26EEA"/>
    <w:multiLevelType w:val="hybridMultilevel"/>
    <w:tmpl w:val="B78035CA"/>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Times New Roman"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Times New Roman"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Times New Roman" w:hint="default"/>
      </w:rPr>
    </w:lvl>
    <w:lvl w:ilvl="8" w:tplc="04090005">
      <w:start w:val="1"/>
      <w:numFmt w:val="bullet"/>
      <w:lvlText w:val=""/>
      <w:lvlJc w:val="left"/>
      <w:pPr>
        <w:ind w:left="8370" w:hanging="360"/>
      </w:pPr>
      <w:rPr>
        <w:rFonts w:ascii="Wingdings" w:hAnsi="Wingdings" w:hint="default"/>
      </w:rPr>
    </w:lvl>
  </w:abstractNum>
  <w:abstractNum w:abstractNumId="9">
    <w:nsid w:val="38A13871"/>
    <w:multiLevelType w:val="hybridMultilevel"/>
    <w:tmpl w:val="1A4E713A"/>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3060"/>
        </w:tabs>
        <w:ind w:left="3060" w:hanging="360"/>
      </w:pPr>
      <w:rPr>
        <w:rFonts w:ascii="Courier New" w:hAnsi="Courier New" w:cs="Courier New"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0">
    <w:nsid w:val="3E2134F4"/>
    <w:multiLevelType w:val="hybridMultilevel"/>
    <w:tmpl w:val="82CC2CD8"/>
    <w:lvl w:ilvl="0" w:tplc="AF329BF0">
      <w:start w:val="1"/>
      <w:numFmt w:val="bullet"/>
      <w:lvlText w:val="–"/>
      <w:lvlJc w:val="left"/>
      <w:pPr>
        <w:ind w:left="1980" w:hanging="360"/>
      </w:pPr>
      <w:rPr>
        <w:rFonts w:ascii="Times New Roman" w:hAnsi="Times New Roman"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2A2730A"/>
    <w:multiLevelType w:val="hybridMultilevel"/>
    <w:tmpl w:val="54129F74"/>
    <w:lvl w:ilvl="0" w:tplc="04090001">
      <w:start w:val="1"/>
      <w:numFmt w:val="bullet"/>
      <w:lvlText w:val=""/>
      <w:lvlJc w:val="left"/>
      <w:pPr>
        <w:ind w:left="1260" w:hanging="360"/>
      </w:pPr>
      <w:rPr>
        <w:rFonts w:ascii="Symbol" w:hAnsi="Symbol" w:hint="default"/>
      </w:rPr>
    </w:lvl>
    <w:lvl w:ilvl="1" w:tplc="EC9E0482">
      <w:start w:val="1"/>
      <w:numFmt w:val="upperLetter"/>
      <w:lvlText w:val="%2."/>
      <w:lvlJc w:val="left"/>
      <w:pPr>
        <w:ind w:left="1980" w:hanging="360"/>
      </w:pPr>
      <w:rPr>
        <w:rFonts w:ascii="Gill Sans MT" w:eastAsia="Times New Roman" w:hAnsi="Gill Sans MT" w:cs="Times New Roman"/>
      </w:rPr>
    </w:lvl>
    <w:lvl w:ilvl="2" w:tplc="04090015">
      <w:start w:val="1"/>
      <w:numFmt w:val="upperLetter"/>
      <w:lvlText w:val="%3."/>
      <w:lvlJc w:val="left"/>
      <w:pPr>
        <w:ind w:left="2700" w:hanging="360"/>
      </w:p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nsid w:val="474017C3"/>
    <w:multiLevelType w:val="hybridMultilevel"/>
    <w:tmpl w:val="B21EC484"/>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3060"/>
        </w:tabs>
        <w:ind w:left="3060" w:hanging="360"/>
      </w:pPr>
      <w:rPr>
        <w:rFonts w:ascii="Courier New" w:hAnsi="Courier New" w:cs="Courier New"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3">
    <w:nsid w:val="4E416875"/>
    <w:multiLevelType w:val="multilevel"/>
    <w:tmpl w:val="9316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1F2C36"/>
    <w:multiLevelType w:val="multilevel"/>
    <w:tmpl w:val="7AA20D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3A1836"/>
    <w:multiLevelType w:val="hybridMultilevel"/>
    <w:tmpl w:val="EE42148A"/>
    <w:lvl w:ilvl="0" w:tplc="AF329BF0">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7F6BAB"/>
    <w:multiLevelType w:val="multilevel"/>
    <w:tmpl w:val="A82402A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944" w:hanging="1440"/>
      </w:pPr>
      <w:rPr>
        <w:rFonts w:hint="default"/>
      </w:rPr>
    </w:lvl>
    <w:lvl w:ilvl="7">
      <w:start w:val="1"/>
      <w:numFmt w:val="decimal"/>
      <w:lvlText w:val="%1.%2.%3.%4.%5.%6.%7.%8"/>
      <w:lvlJc w:val="left"/>
      <w:pPr>
        <w:ind w:left="12888" w:hanging="1800"/>
      </w:pPr>
      <w:rPr>
        <w:rFonts w:hint="default"/>
      </w:rPr>
    </w:lvl>
    <w:lvl w:ilvl="8">
      <w:start w:val="1"/>
      <w:numFmt w:val="decimal"/>
      <w:lvlText w:val="%1.%2.%3.%4.%5.%6.%7.%8.%9"/>
      <w:lvlJc w:val="left"/>
      <w:pPr>
        <w:ind w:left="14472" w:hanging="1800"/>
      </w:pPr>
      <w:rPr>
        <w:rFonts w:hint="default"/>
      </w:rPr>
    </w:lvl>
  </w:abstractNum>
  <w:abstractNum w:abstractNumId="17">
    <w:nsid w:val="5D414396"/>
    <w:multiLevelType w:val="hybridMultilevel"/>
    <w:tmpl w:val="1C8C90E4"/>
    <w:lvl w:ilvl="0" w:tplc="AF329BF0">
      <w:start w:val="1"/>
      <w:numFmt w:val="bullet"/>
      <w:lvlText w:val="–"/>
      <w:lvlJc w:val="left"/>
      <w:pPr>
        <w:ind w:left="1890" w:hanging="360"/>
      </w:pPr>
      <w:rPr>
        <w:rFonts w:ascii="Times New Roman" w:hAnsi="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601E1DB7"/>
    <w:multiLevelType w:val="hybridMultilevel"/>
    <w:tmpl w:val="6F5CA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284357F"/>
    <w:multiLevelType w:val="hybridMultilevel"/>
    <w:tmpl w:val="0AACDA34"/>
    <w:lvl w:ilvl="0" w:tplc="AF329BF0">
      <w:start w:val="1"/>
      <w:numFmt w:val="bullet"/>
      <w:lvlText w:val="–"/>
      <w:lvlJc w:val="left"/>
      <w:pPr>
        <w:ind w:left="2070" w:hanging="360"/>
      </w:pPr>
      <w:rPr>
        <w:rFonts w:ascii="Times New Roman" w:hAnsi="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6469692E"/>
    <w:multiLevelType w:val="hybridMultilevel"/>
    <w:tmpl w:val="BA0E368C"/>
    <w:lvl w:ilvl="0" w:tplc="AF329BF0">
      <w:start w:val="1"/>
      <w:numFmt w:val="bullet"/>
      <w:lvlText w:val="–"/>
      <w:lvlJc w:val="left"/>
      <w:pPr>
        <w:ind w:left="1890" w:hanging="360"/>
      </w:pPr>
      <w:rPr>
        <w:rFonts w:ascii="Times New Roman" w:hAnsi="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nsid w:val="681827DC"/>
    <w:multiLevelType w:val="hybridMultilevel"/>
    <w:tmpl w:val="B234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1C4892"/>
    <w:multiLevelType w:val="hybridMultilevel"/>
    <w:tmpl w:val="A5F4117E"/>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3060"/>
        </w:tabs>
        <w:ind w:left="3060" w:hanging="360"/>
      </w:pPr>
      <w:rPr>
        <w:rFonts w:ascii="Courier New" w:hAnsi="Courier New" w:cs="Courier New"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3">
    <w:nsid w:val="694A7691"/>
    <w:multiLevelType w:val="hybridMultilevel"/>
    <w:tmpl w:val="FB0ED8E4"/>
    <w:lvl w:ilvl="0" w:tplc="AF329BF0">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E7D0938"/>
    <w:multiLevelType w:val="hybridMultilevel"/>
    <w:tmpl w:val="D766F740"/>
    <w:lvl w:ilvl="0" w:tplc="FF8A01B4">
      <w:start w:val="1"/>
      <w:numFmt w:val="bullet"/>
      <w:lvlText w:val=""/>
      <w:lvlJc w:val="left"/>
      <w:pPr>
        <w:tabs>
          <w:tab w:val="num" w:pos="720"/>
        </w:tabs>
        <w:ind w:left="720" w:hanging="360"/>
      </w:pPr>
      <w:rPr>
        <w:rFonts w:ascii="Wingdings" w:hAnsi="Wingdings" w:hint="default"/>
      </w:rPr>
    </w:lvl>
    <w:lvl w:ilvl="1" w:tplc="CBAAF44C">
      <w:start w:val="1952"/>
      <w:numFmt w:val="bullet"/>
      <w:lvlText w:val="-"/>
      <w:lvlJc w:val="left"/>
      <w:pPr>
        <w:tabs>
          <w:tab w:val="num" w:pos="1440"/>
        </w:tabs>
        <w:ind w:left="1440" w:hanging="360"/>
      </w:pPr>
      <w:rPr>
        <w:rFonts w:ascii="Times New Roman" w:hAnsi="Times New Roman" w:hint="default"/>
      </w:rPr>
    </w:lvl>
    <w:lvl w:ilvl="2" w:tplc="8794D808">
      <w:start w:val="1952"/>
      <w:numFmt w:val="bullet"/>
      <w:lvlText w:val=""/>
      <w:lvlJc w:val="left"/>
      <w:pPr>
        <w:tabs>
          <w:tab w:val="num" w:pos="2160"/>
        </w:tabs>
        <w:ind w:left="2160" w:hanging="360"/>
      </w:pPr>
      <w:rPr>
        <w:rFonts w:ascii="Wingdings" w:hAnsi="Wingdings" w:hint="default"/>
      </w:rPr>
    </w:lvl>
    <w:lvl w:ilvl="3" w:tplc="47867096" w:tentative="1">
      <w:start w:val="1"/>
      <w:numFmt w:val="bullet"/>
      <w:lvlText w:val=""/>
      <w:lvlJc w:val="left"/>
      <w:pPr>
        <w:tabs>
          <w:tab w:val="num" w:pos="2880"/>
        </w:tabs>
        <w:ind w:left="2880" w:hanging="360"/>
      </w:pPr>
      <w:rPr>
        <w:rFonts w:ascii="Wingdings" w:hAnsi="Wingdings" w:hint="default"/>
      </w:rPr>
    </w:lvl>
    <w:lvl w:ilvl="4" w:tplc="BB764CCE" w:tentative="1">
      <w:start w:val="1"/>
      <w:numFmt w:val="bullet"/>
      <w:lvlText w:val=""/>
      <w:lvlJc w:val="left"/>
      <w:pPr>
        <w:tabs>
          <w:tab w:val="num" w:pos="3600"/>
        </w:tabs>
        <w:ind w:left="3600" w:hanging="360"/>
      </w:pPr>
      <w:rPr>
        <w:rFonts w:ascii="Wingdings" w:hAnsi="Wingdings" w:hint="default"/>
      </w:rPr>
    </w:lvl>
    <w:lvl w:ilvl="5" w:tplc="E8048348" w:tentative="1">
      <w:start w:val="1"/>
      <w:numFmt w:val="bullet"/>
      <w:lvlText w:val=""/>
      <w:lvlJc w:val="left"/>
      <w:pPr>
        <w:tabs>
          <w:tab w:val="num" w:pos="4320"/>
        </w:tabs>
        <w:ind w:left="4320" w:hanging="360"/>
      </w:pPr>
      <w:rPr>
        <w:rFonts w:ascii="Wingdings" w:hAnsi="Wingdings" w:hint="default"/>
      </w:rPr>
    </w:lvl>
    <w:lvl w:ilvl="6" w:tplc="C1406A64" w:tentative="1">
      <w:start w:val="1"/>
      <w:numFmt w:val="bullet"/>
      <w:lvlText w:val=""/>
      <w:lvlJc w:val="left"/>
      <w:pPr>
        <w:tabs>
          <w:tab w:val="num" w:pos="5040"/>
        </w:tabs>
        <w:ind w:left="5040" w:hanging="360"/>
      </w:pPr>
      <w:rPr>
        <w:rFonts w:ascii="Wingdings" w:hAnsi="Wingdings" w:hint="default"/>
      </w:rPr>
    </w:lvl>
    <w:lvl w:ilvl="7" w:tplc="EE8C345C" w:tentative="1">
      <w:start w:val="1"/>
      <w:numFmt w:val="bullet"/>
      <w:lvlText w:val=""/>
      <w:lvlJc w:val="left"/>
      <w:pPr>
        <w:tabs>
          <w:tab w:val="num" w:pos="5760"/>
        </w:tabs>
        <w:ind w:left="5760" w:hanging="360"/>
      </w:pPr>
      <w:rPr>
        <w:rFonts w:ascii="Wingdings" w:hAnsi="Wingdings" w:hint="default"/>
      </w:rPr>
    </w:lvl>
    <w:lvl w:ilvl="8" w:tplc="1D4894B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5"/>
  </w:num>
  <w:num w:numId="4">
    <w:abstractNumId w:val="23"/>
  </w:num>
  <w:num w:numId="5">
    <w:abstractNumId w:val="20"/>
  </w:num>
  <w:num w:numId="6">
    <w:abstractNumId w:val="10"/>
  </w:num>
  <w:num w:numId="7">
    <w:abstractNumId w:val="17"/>
  </w:num>
  <w:num w:numId="8">
    <w:abstractNumId w:val="2"/>
  </w:num>
  <w:num w:numId="9">
    <w:abstractNumId w:val="19"/>
  </w:num>
  <w:num w:numId="10">
    <w:abstractNumId w:val="6"/>
  </w:num>
  <w:num w:numId="11">
    <w:abstractNumId w:val="18"/>
  </w:num>
  <w:num w:numId="12">
    <w:abstractNumId w:val="22"/>
  </w:num>
  <w:num w:numId="13">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14">
    <w:abstractNumId w:val="12"/>
  </w:num>
  <w:num w:numId="15">
    <w:abstractNumId w:val="9"/>
  </w:num>
  <w:num w:numId="16">
    <w:abstractNumId w:val="0"/>
  </w:num>
  <w:num w:numId="17">
    <w:abstractNumId w:val="8"/>
  </w:num>
  <w:num w:numId="18">
    <w:abstractNumId w:val="14"/>
  </w:num>
  <w:num w:numId="19">
    <w:abstractNumId w:val="13"/>
  </w:num>
  <w:num w:numId="20">
    <w:abstractNumId w:val="5"/>
  </w:num>
  <w:num w:numId="21">
    <w:abstractNumId w:val="1"/>
  </w:num>
  <w:num w:numId="2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75"/>
    <w:rsid w:val="00077D1A"/>
    <w:rsid w:val="000E3F1E"/>
    <w:rsid w:val="00130F55"/>
    <w:rsid w:val="00205170"/>
    <w:rsid w:val="00220371"/>
    <w:rsid w:val="002357AB"/>
    <w:rsid w:val="002530B1"/>
    <w:rsid w:val="002D1733"/>
    <w:rsid w:val="003234A8"/>
    <w:rsid w:val="003846F0"/>
    <w:rsid w:val="003A52AA"/>
    <w:rsid w:val="003B54BB"/>
    <w:rsid w:val="004E15DC"/>
    <w:rsid w:val="0056757A"/>
    <w:rsid w:val="00656F27"/>
    <w:rsid w:val="006A5EAE"/>
    <w:rsid w:val="006C0EA8"/>
    <w:rsid w:val="006D5F56"/>
    <w:rsid w:val="00720BFB"/>
    <w:rsid w:val="007435CB"/>
    <w:rsid w:val="007A7241"/>
    <w:rsid w:val="008370D6"/>
    <w:rsid w:val="008512BC"/>
    <w:rsid w:val="0086549D"/>
    <w:rsid w:val="0088151C"/>
    <w:rsid w:val="008E2FBE"/>
    <w:rsid w:val="00906F41"/>
    <w:rsid w:val="009D24CF"/>
    <w:rsid w:val="00A12DE6"/>
    <w:rsid w:val="00B5736F"/>
    <w:rsid w:val="00D61BC4"/>
    <w:rsid w:val="00D74B4A"/>
    <w:rsid w:val="00F02F75"/>
    <w:rsid w:val="00F70B98"/>
    <w:rsid w:val="00FD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75"/>
    <w:pPr>
      <w:ind w:left="720"/>
      <w:contextualSpacing/>
    </w:pPr>
  </w:style>
  <w:style w:type="character" w:customStyle="1" w:styleId="NoSpacingChar">
    <w:name w:val="No Spacing Char"/>
    <w:link w:val="NoSpacing"/>
    <w:locked/>
    <w:rsid w:val="00F02F75"/>
  </w:style>
  <w:style w:type="paragraph" w:styleId="NoSpacing">
    <w:name w:val="No Spacing"/>
    <w:link w:val="NoSpacingChar"/>
    <w:qFormat/>
    <w:rsid w:val="00F02F75"/>
    <w:pPr>
      <w:spacing w:after="0" w:line="240" w:lineRule="auto"/>
    </w:pPr>
  </w:style>
  <w:style w:type="paragraph" w:styleId="BodyTextIndent2">
    <w:name w:val="Body Text Indent 2"/>
    <w:basedOn w:val="Normal"/>
    <w:link w:val="BodyTextIndent2Char"/>
    <w:uiPriority w:val="99"/>
    <w:unhideWhenUsed/>
    <w:rsid w:val="00F02F75"/>
    <w:pPr>
      <w:spacing w:after="120" w:line="480" w:lineRule="auto"/>
      <w:ind w:left="360"/>
    </w:pPr>
  </w:style>
  <w:style w:type="character" w:customStyle="1" w:styleId="BodyTextIndent2Char">
    <w:name w:val="Body Text Indent 2 Char"/>
    <w:basedOn w:val="DefaultParagraphFont"/>
    <w:link w:val="BodyTextIndent2"/>
    <w:uiPriority w:val="99"/>
    <w:rsid w:val="00F02F75"/>
  </w:style>
  <w:style w:type="table" w:styleId="TableGrid">
    <w:name w:val="Table Grid"/>
    <w:basedOn w:val="TableNormal"/>
    <w:uiPriority w:val="59"/>
    <w:rsid w:val="00F0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33"/>
    <w:rPr>
      <w:rFonts w:ascii="Tahoma" w:hAnsi="Tahoma" w:cs="Tahoma"/>
      <w:sz w:val="16"/>
      <w:szCs w:val="16"/>
    </w:rPr>
  </w:style>
  <w:style w:type="character" w:styleId="Hyperlink">
    <w:name w:val="Hyperlink"/>
    <w:basedOn w:val="DefaultParagraphFont"/>
    <w:uiPriority w:val="99"/>
    <w:unhideWhenUsed/>
    <w:rsid w:val="002D1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75"/>
    <w:pPr>
      <w:ind w:left="720"/>
      <w:contextualSpacing/>
    </w:pPr>
  </w:style>
  <w:style w:type="character" w:customStyle="1" w:styleId="NoSpacingChar">
    <w:name w:val="No Spacing Char"/>
    <w:link w:val="NoSpacing"/>
    <w:locked/>
    <w:rsid w:val="00F02F75"/>
  </w:style>
  <w:style w:type="paragraph" w:styleId="NoSpacing">
    <w:name w:val="No Spacing"/>
    <w:link w:val="NoSpacingChar"/>
    <w:qFormat/>
    <w:rsid w:val="00F02F75"/>
    <w:pPr>
      <w:spacing w:after="0" w:line="240" w:lineRule="auto"/>
    </w:pPr>
  </w:style>
  <w:style w:type="paragraph" w:styleId="BodyTextIndent2">
    <w:name w:val="Body Text Indent 2"/>
    <w:basedOn w:val="Normal"/>
    <w:link w:val="BodyTextIndent2Char"/>
    <w:uiPriority w:val="99"/>
    <w:unhideWhenUsed/>
    <w:rsid w:val="00F02F75"/>
    <w:pPr>
      <w:spacing w:after="120" w:line="480" w:lineRule="auto"/>
      <w:ind w:left="360"/>
    </w:pPr>
  </w:style>
  <w:style w:type="character" w:customStyle="1" w:styleId="BodyTextIndent2Char">
    <w:name w:val="Body Text Indent 2 Char"/>
    <w:basedOn w:val="DefaultParagraphFont"/>
    <w:link w:val="BodyTextIndent2"/>
    <w:uiPriority w:val="99"/>
    <w:rsid w:val="00F02F75"/>
  </w:style>
  <w:style w:type="table" w:styleId="TableGrid">
    <w:name w:val="Table Grid"/>
    <w:basedOn w:val="TableNormal"/>
    <w:uiPriority w:val="59"/>
    <w:rsid w:val="00F0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33"/>
    <w:rPr>
      <w:rFonts w:ascii="Tahoma" w:hAnsi="Tahoma" w:cs="Tahoma"/>
      <w:sz w:val="16"/>
      <w:szCs w:val="16"/>
    </w:rPr>
  </w:style>
  <w:style w:type="character" w:styleId="Hyperlink">
    <w:name w:val="Hyperlink"/>
    <w:basedOn w:val="DefaultParagraphFont"/>
    <w:uiPriority w:val="99"/>
    <w:unhideWhenUsed/>
    <w:rsid w:val="002D1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7910">
      <w:bodyDiv w:val="1"/>
      <w:marLeft w:val="0"/>
      <w:marRight w:val="0"/>
      <w:marTop w:val="0"/>
      <w:marBottom w:val="0"/>
      <w:divBdr>
        <w:top w:val="none" w:sz="0" w:space="0" w:color="auto"/>
        <w:left w:val="none" w:sz="0" w:space="0" w:color="auto"/>
        <w:bottom w:val="none" w:sz="0" w:space="0" w:color="auto"/>
        <w:right w:val="none" w:sz="0" w:space="0" w:color="auto"/>
      </w:divBdr>
    </w:div>
    <w:div w:id="1772703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2124">
          <w:marLeft w:val="547"/>
          <w:marRight w:val="0"/>
          <w:marTop w:val="120"/>
          <w:marBottom w:val="120"/>
          <w:divBdr>
            <w:top w:val="none" w:sz="0" w:space="0" w:color="auto"/>
            <w:left w:val="none" w:sz="0" w:space="0" w:color="auto"/>
            <w:bottom w:val="none" w:sz="0" w:space="0" w:color="auto"/>
            <w:right w:val="none" w:sz="0" w:space="0" w:color="auto"/>
          </w:divBdr>
        </w:div>
        <w:div w:id="760687004">
          <w:marLeft w:val="821"/>
          <w:marRight w:val="0"/>
          <w:marTop w:val="120"/>
          <w:marBottom w:val="120"/>
          <w:divBdr>
            <w:top w:val="none" w:sz="0" w:space="0" w:color="auto"/>
            <w:left w:val="none" w:sz="0" w:space="0" w:color="auto"/>
            <w:bottom w:val="none" w:sz="0" w:space="0" w:color="auto"/>
            <w:right w:val="none" w:sz="0" w:space="0" w:color="auto"/>
          </w:divBdr>
        </w:div>
        <w:div w:id="1977369282">
          <w:marLeft w:val="547"/>
          <w:marRight w:val="0"/>
          <w:marTop w:val="120"/>
          <w:marBottom w:val="120"/>
          <w:divBdr>
            <w:top w:val="none" w:sz="0" w:space="0" w:color="auto"/>
            <w:left w:val="none" w:sz="0" w:space="0" w:color="auto"/>
            <w:bottom w:val="none" w:sz="0" w:space="0" w:color="auto"/>
            <w:right w:val="none" w:sz="0" w:space="0" w:color="auto"/>
          </w:divBdr>
        </w:div>
        <w:div w:id="990212077">
          <w:marLeft w:val="821"/>
          <w:marRight w:val="0"/>
          <w:marTop w:val="120"/>
          <w:marBottom w:val="120"/>
          <w:divBdr>
            <w:top w:val="none" w:sz="0" w:space="0" w:color="auto"/>
            <w:left w:val="none" w:sz="0" w:space="0" w:color="auto"/>
            <w:bottom w:val="none" w:sz="0" w:space="0" w:color="auto"/>
            <w:right w:val="none" w:sz="0" w:space="0" w:color="auto"/>
          </w:divBdr>
        </w:div>
        <w:div w:id="2137487407">
          <w:marLeft w:val="547"/>
          <w:marRight w:val="0"/>
          <w:marTop w:val="120"/>
          <w:marBottom w:val="120"/>
          <w:divBdr>
            <w:top w:val="none" w:sz="0" w:space="0" w:color="auto"/>
            <w:left w:val="none" w:sz="0" w:space="0" w:color="auto"/>
            <w:bottom w:val="none" w:sz="0" w:space="0" w:color="auto"/>
            <w:right w:val="none" w:sz="0" w:space="0" w:color="auto"/>
          </w:divBdr>
        </w:div>
        <w:div w:id="1611938851">
          <w:marLeft w:val="821"/>
          <w:marRight w:val="0"/>
          <w:marTop w:val="120"/>
          <w:marBottom w:val="120"/>
          <w:divBdr>
            <w:top w:val="none" w:sz="0" w:space="0" w:color="auto"/>
            <w:left w:val="none" w:sz="0" w:space="0" w:color="auto"/>
            <w:bottom w:val="none" w:sz="0" w:space="0" w:color="auto"/>
            <w:right w:val="none" w:sz="0" w:space="0" w:color="auto"/>
          </w:divBdr>
        </w:div>
        <w:div w:id="271285891">
          <w:marLeft w:val="1440"/>
          <w:marRight w:val="0"/>
          <w:marTop w:val="120"/>
          <w:marBottom w:val="120"/>
          <w:divBdr>
            <w:top w:val="none" w:sz="0" w:space="0" w:color="auto"/>
            <w:left w:val="none" w:sz="0" w:space="0" w:color="auto"/>
            <w:bottom w:val="none" w:sz="0" w:space="0" w:color="auto"/>
            <w:right w:val="none" w:sz="0" w:space="0" w:color="auto"/>
          </w:divBdr>
        </w:div>
        <w:div w:id="1642349493">
          <w:marLeft w:val="1440"/>
          <w:marRight w:val="0"/>
          <w:marTop w:val="120"/>
          <w:marBottom w:val="120"/>
          <w:divBdr>
            <w:top w:val="none" w:sz="0" w:space="0" w:color="auto"/>
            <w:left w:val="none" w:sz="0" w:space="0" w:color="auto"/>
            <w:bottom w:val="none" w:sz="0" w:space="0" w:color="auto"/>
            <w:right w:val="none" w:sz="0" w:space="0" w:color="auto"/>
          </w:divBdr>
        </w:div>
        <w:div w:id="1920361020">
          <w:marLeft w:val="1440"/>
          <w:marRight w:val="0"/>
          <w:marTop w:val="120"/>
          <w:marBottom w:val="120"/>
          <w:divBdr>
            <w:top w:val="none" w:sz="0" w:space="0" w:color="auto"/>
            <w:left w:val="none" w:sz="0" w:space="0" w:color="auto"/>
            <w:bottom w:val="none" w:sz="0" w:space="0" w:color="auto"/>
            <w:right w:val="none" w:sz="0" w:space="0" w:color="auto"/>
          </w:divBdr>
        </w:div>
        <w:div w:id="2040472164">
          <w:marLeft w:val="144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ebeyaw@hsfreth.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beyawW\Desktop\Desktop%20document\Database%202007EFY\Hospital%202007%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Outpatient private wing service Addis Ababa Public Hospitals </a:t>
            </a:r>
          </a:p>
        </c:rich>
      </c:tx>
      <c:overlay val="0"/>
    </c:title>
    <c:autoTitleDeleted val="0"/>
    <c:plotArea>
      <c:layout/>
      <c:barChart>
        <c:barDir val="col"/>
        <c:grouping val="clustered"/>
        <c:varyColors val="0"/>
        <c:ser>
          <c:idx val="0"/>
          <c:order val="0"/>
          <c:tx>
            <c:strRef>
              <c:f>'የግል ህክምና ክፍል '!$K$5</c:f>
              <c:strCache>
                <c:ptCount val="1"/>
                <c:pt idx="0">
                  <c:v># of OPD cliants visited PW </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'የግል ህክምና ክፍል '!$L$4:$O$4</c:f>
              <c:strCache>
                <c:ptCount val="4"/>
                <c:pt idx="0">
                  <c:v>2011/12</c:v>
                </c:pt>
                <c:pt idx="1">
                  <c:v>2012/13</c:v>
                </c:pt>
                <c:pt idx="2">
                  <c:v>2013/14</c:v>
                </c:pt>
                <c:pt idx="3">
                  <c:v>2014/15</c:v>
                </c:pt>
              </c:strCache>
            </c:strRef>
          </c:cat>
          <c:val>
            <c:numRef>
              <c:f>'የግል ህክምና ክፍል '!$L$5:$O$5</c:f>
              <c:numCache>
                <c:formatCode>_(* #,##0_);_(* \(#,##0\);_(* "-"??_);_(@_)</c:formatCode>
                <c:ptCount val="4"/>
                <c:pt idx="0">
                  <c:v>44553</c:v>
                </c:pt>
                <c:pt idx="1">
                  <c:v>43102</c:v>
                </c:pt>
                <c:pt idx="2">
                  <c:v>41804</c:v>
                </c:pt>
                <c:pt idx="3">
                  <c:v>49858</c:v>
                </c:pt>
              </c:numCache>
            </c:numRef>
          </c:val>
        </c:ser>
        <c:ser>
          <c:idx val="1"/>
          <c:order val="1"/>
          <c:tx>
            <c:strRef>
              <c:f>'የግል ህክምና ክፍል '!$K$6</c:f>
              <c:strCache>
                <c:ptCount val="1"/>
                <c:pt idx="0">
                  <c:v>Total revenue from PW  </c:v>
                </c:pt>
              </c:strCache>
            </c:strRef>
          </c:tx>
          <c:spPr>
            <a:solidFill>
              <a:srgbClr val="FFC00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'የግል ህክምና ክፍል '!$L$4:$O$4</c:f>
              <c:strCache>
                <c:ptCount val="4"/>
                <c:pt idx="0">
                  <c:v>2011/12</c:v>
                </c:pt>
                <c:pt idx="1">
                  <c:v>2012/13</c:v>
                </c:pt>
                <c:pt idx="2">
                  <c:v>2013/14</c:v>
                </c:pt>
                <c:pt idx="3">
                  <c:v>2014/15</c:v>
                </c:pt>
              </c:strCache>
            </c:strRef>
          </c:cat>
          <c:val>
            <c:numRef>
              <c:f>'የግል ህክምና ክፍል '!$L$6:$O$6</c:f>
              <c:numCache>
                <c:formatCode>_(* #,##0_);_(* \(#,##0\);_(* "-"??_);_(@_)</c:formatCode>
                <c:ptCount val="4"/>
                <c:pt idx="0">
                  <c:v>6613687.4899999993</c:v>
                </c:pt>
                <c:pt idx="1">
                  <c:v>8858709.9800000004</c:v>
                </c:pt>
                <c:pt idx="2">
                  <c:v>9177068</c:v>
                </c:pt>
                <c:pt idx="3">
                  <c:v>12841405</c:v>
                </c:pt>
              </c:numCache>
            </c:numRef>
          </c:val>
        </c:ser>
        <c:ser>
          <c:idx val="2"/>
          <c:order val="2"/>
          <c:tx>
            <c:strRef>
              <c:f>'የግል ህክምና ክፍል '!$K$7</c:f>
              <c:strCache>
                <c:ptCount val="1"/>
                <c:pt idx="0">
                  <c:v>Operational expenditure from PW </c:v>
                </c:pt>
              </c:strCache>
            </c:strRef>
          </c:tx>
          <c:spPr>
            <a:solidFill>
              <a:schemeClr val="accent3">
                <a:lumMod val="75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strRef>
              <c:f>'የግል ህክምና ክፍል '!$L$4:$O$4</c:f>
              <c:strCache>
                <c:ptCount val="4"/>
                <c:pt idx="0">
                  <c:v>2011/12</c:v>
                </c:pt>
                <c:pt idx="1">
                  <c:v>2012/13</c:v>
                </c:pt>
                <c:pt idx="2">
                  <c:v>2013/14</c:v>
                </c:pt>
                <c:pt idx="3">
                  <c:v>2014/15</c:v>
                </c:pt>
              </c:strCache>
            </c:strRef>
          </c:cat>
          <c:val>
            <c:numRef>
              <c:f>'የግል ህክምና ክፍል '!$L$7:$O$7</c:f>
              <c:numCache>
                <c:formatCode>_(* #,##0_);_(* \(#,##0\);_(* "-"??_);_(@_)</c:formatCode>
                <c:ptCount val="4"/>
                <c:pt idx="0">
                  <c:v>444787.81</c:v>
                </c:pt>
                <c:pt idx="1">
                  <c:v>237914.7</c:v>
                </c:pt>
                <c:pt idx="2">
                  <c:v>68242</c:v>
                </c:pt>
                <c:pt idx="3">
                  <c:v>340854</c:v>
                </c:pt>
              </c:numCache>
            </c:numRef>
          </c:val>
        </c:ser>
        <c:ser>
          <c:idx val="3"/>
          <c:order val="3"/>
          <c:tx>
            <c:strRef>
              <c:f>'የግል ህክምና ክፍል '!$K$8</c:f>
              <c:strCache>
                <c:ptCount val="1"/>
                <c:pt idx="0">
                  <c:v>Money paid to Health Personnels </c:v>
                </c:pt>
              </c:strCache>
            </c:strRef>
          </c:tx>
          <c:spPr>
            <a:solidFill>
              <a:schemeClr val="accent4">
                <a:lumMod val="60000"/>
                <a:lumOff val="40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strRef>
              <c:f>'የግል ህክምና ክፍል '!$L$4:$O$4</c:f>
              <c:strCache>
                <c:ptCount val="4"/>
                <c:pt idx="0">
                  <c:v>2011/12</c:v>
                </c:pt>
                <c:pt idx="1">
                  <c:v>2012/13</c:v>
                </c:pt>
                <c:pt idx="2">
                  <c:v>2013/14</c:v>
                </c:pt>
                <c:pt idx="3">
                  <c:v>2014/15</c:v>
                </c:pt>
              </c:strCache>
            </c:strRef>
          </c:cat>
          <c:val>
            <c:numRef>
              <c:f>'የግል ህክምና ክፍል '!$L$8:$O$8</c:f>
              <c:numCache>
                <c:formatCode>_(* #,##0_);_(* \(#,##0\);_(* "-"??_);_(@_)</c:formatCode>
                <c:ptCount val="4"/>
                <c:pt idx="0">
                  <c:v>4327049.6900000004</c:v>
                </c:pt>
                <c:pt idx="1">
                  <c:v>5918395.7400000002</c:v>
                </c:pt>
                <c:pt idx="2">
                  <c:v>4796985</c:v>
                </c:pt>
                <c:pt idx="3">
                  <c:v>8682274</c:v>
                </c:pt>
              </c:numCache>
            </c:numRef>
          </c:val>
        </c:ser>
        <c:ser>
          <c:idx val="4"/>
          <c:order val="4"/>
          <c:tx>
            <c:strRef>
              <c:f>'የግል ህክምና ክፍል '!$K$9</c:f>
              <c:strCache>
                <c:ptCount val="1"/>
                <c:pt idx="0">
                  <c:v>Money paid to Hospital</c:v>
                </c:pt>
              </c:strCache>
            </c:strRef>
          </c:tx>
          <c:spPr>
            <a:solidFill>
              <a:srgbClr val="00B0F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'የግል ህክምና ክፍል '!$L$4:$O$4</c:f>
              <c:strCache>
                <c:ptCount val="4"/>
                <c:pt idx="0">
                  <c:v>2011/12</c:v>
                </c:pt>
                <c:pt idx="1">
                  <c:v>2012/13</c:v>
                </c:pt>
                <c:pt idx="2">
                  <c:v>2013/14</c:v>
                </c:pt>
                <c:pt idx="3">
                  <c:v>2014/15</c:v>
                </c:pt>
              </c:strCache>
            </c:strRef>
          </c:cat>
          <c:val>
            <c:numRef>
              <c:f>'የግል ህክምና ክፍል '!$L$9:$O$9</c:f>
              <c:numCache>
                <c:formatCode>_(* #,##0_);_(* \(#,##0\);_(* "-"??_);_(@_)</c:formatCode>
                <c:ptCount val="4"/>
                <c:pt idx="0">
                  <c:v>1066597.6100000001</c:v>
                </c:pt>
                <c:pt idx="1">
                  <c:v>1349284.38</c:v>
                </c:pt>
                <c:pt idx="2">
                  <c:v>1366324</c:v>
                </c:pt>
                <c:pt idx="3">
                  <c:v>1859952</c:v>
                </c:pt>
              </c:numCache>
            </c:numRef>
          </c:val>
        </c:ser>
        <c:dLbls>
          <c:showLegendKey val="0"/>
          <c:showVal val="1"/>
          <c:showCatName val="0"/>
          <c:showSerName val="0"/>
          <c:showPercent val="0"/>
          <c:showBubbleSize val="0"/>
        </c:dLbls>
        <c:gapWidth val="150"/>
        <c:overlap val="-25"/>
        <c:axId val="196675840"/>
        <c:axId val="197828608"/>
      </c:barChart>
      <c:catAx>
        <c:axId val="196675840"/>
        <c:scaling>
          <c:orientation val="minMax"/>
        </c:scaling>
        <c:delete val="0"/>
        <c:axPos val="b"/>
        <c:majorTickMark val="none"/>
        <c:minorTickMark val="none"/>
        <c:tickLblPos val="nextTo"/>
        <c:txPr>
          <a:bodyPr/>
          <a:lstStyle/>
          <a:p>
            <a:pPr>
              <a:defRPr b="1"/>
            </a:pPr>
            <a:endParaRPr lang="en-US"/>
          </a:p>
        </c:txPr>
        <c:crossAx val="197828608"/>
        <c:crosses val="autoZero"/>
        <c:auto val="1"/>
        <c:lblAlgn val="ctr"/>
        <c:lblOffset val="100"/>
        <c:noMultiLvlLbl val="0"/>
      </c:catAx>
      <c:valAx>
        <c:axId val="197828608"/>
        <c:scaling>
          <c:orientation val="minMax"/>
        </c:scaling>
        <c:delete val="1"/>
        <c:axPos val="l"/>
        <c:numFmt formatCode="_(* #,##0_);_(* \(#,##0\);_(* &quot;-&quot;??_);_(@_)" sourceLinked="1"/>
        <c:majorTickMark val="out"/>
        <c:minorTickMark val="none"/>
        <c:tickLblPos val="nextTo"/>
        <c:crossAx val="196675840"/>
        <c:crosses val="autoZero"/>
        <c:crossBetween val="between"/>
      </c:valAx>
    </c:plotArea>
    <c:legend>
      <c:legendPos val="t"/>
      <c:overlay val="0"/>
      <c:txPr>
        <a:bodyPr/>
        <a:lstStyle/>
        <a:p>
          <a:pPr>
            <a:defRPr b="1"/>
          </a:pPr>
          <a:endParaRPr lang="en-US"/>
        </a:p>
      </c:txPr>
    </c:legend>
    <c:plotVisOnly val="1"/>
    <c:dispBlanksAs val="gap"/>
    <c:showDLblsOverMax val="0"/>
  </c:chart>
  <c:spPr>
    <a:no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2016-03-25T11:20:00Z</cp:lastPrinted>
  <dcterms:created xsi:type="dcterms:W3CDTF">2016-03-25T07:24:00Z</dcterms:created>
  <dcterms:modified xsi:type="dcterms:W3CDTF">2016-03-25T11:24:00Z</dcterms:modified>
</cp:coreProperties>
</file>