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728D4" w14:textId="77777777" w:rsidR="00015C6E" w:rsidRPr="00194CAD" w:rsidRDefault="00885A0B">
      <w:pPr>
        <w:rPr>
          <w:b/>
        </w:rPr>
      </w:pPr>
      <w:r>
        <w:rPr>
          <w:b/>
        </w:rPr>
        <w:t>Design</w:t>
      </w:r>
      <w:r w:rsidR="00327875" w:rsidRPr="00194CAD">
        <w:rPr>
          <w:b/>
        </w:rPr>
        <w:t xml:space="preserve"> </w:t>
      </w:r>
      <w:r w:rsidR="0048464D" w:rsidRPr="00194CAD">
        <w:rPr>
          <w:b/>
        </w:rPr>
        <w:t>institutionnel et pratiques organisationnelles pour la prise en charge des groupes vulnérables et du secteur informel dans le cadre de la CSU : une analyse comparée des options dans l’espace CEDEAO</w:t>
      </w:r>
      <w:r w:rsidR="00DA641B" w:rsidRPr="00194CAD">
        <w:rPr>
          <w:b/>
        </w:rPr>
        <w:t xml:space="preserve"> (DIPO)</w:t>
      </w:r>
    </w:p>
    <w:p w14:paraId="3E0613E6" w14:textId="77777777" w:rsidR="006B014C" w:rsidRPr="000F60D0" w:rsidRDefault="0056053E" w:rsidP="0056053E">
      <w:pPr>
        <w:tabs>
          <w:tab w:val="center" w:pos="4532"/>
        </w:tabs>
        <w:rPr>
          <w:i/>
          <w:lang w:val="en-US"/>
        </w:rPr>
      </w:pPr>
      <w:r w:rsidRPr="000F60D0">
        <w:rPr>
          <w:i/>
          <w:lang w:val="en-US"/>
        </w:rPr>
        <w:t xml:space="preserve">P. Ndiaye, J. Tine, O. Ouattara, FL. </w:t>
      </w:r>
      <w:proofErr w:type="spellStart"/>
      <w:r w:rsidRPr="000F60D0">
        <w:rPr>
          <w:i/>
          <w:lang w:val="en-US"/>
        </w:rPr>
        <w:t>Sall</w:t>
      </w:r>
      <w:proofErr w:type="spellEnd"/>
      <w:r w:rsidRPr="000F60D0">
        <w:rPr>
          <w:i/>
          <w:lang w:val="en-US"/>
        </w:rPr>
        <w:t>, M. Kaddar</w:t>
      </w:r>
      <w:bookmarkStart w:id="0" w:name="_GoBack"/>
      <w:bookmarkEnd w:id="0"/>
      <w:r w:rsidRPr="000F60D0">
        <w:rPr>
          <w:i/>
          <w:lang w:val="en-US"/>
        </w:rPr>
        <w:tab/>
      </w:r>
    </w:p>
    <w:p w14:paraId="0A3631F4" w14:textId="77777777" w:rsidR="0056053E" w:rsidRPr="000F60D0" w:rsidRDefault="0056053E">
      <w:pPr>
        <w:rPr>
          <w:lang w:val="en-US"/>
        </w:rPr>
      </w:pPr>
    </w:p>
    <w:p w14:paraId="5C27177C" w14:textId="77777777" w:rsidR="006B014C" w:rsidRDefault="006B014C">
      <w:r>
        <w:t xml:space="preserve">La CSU est inscrite dans les agendas de la majorité des 15 pays de la CEDEAO. </w:t>
      </w:r>
      <w:r w:rsidR="00327875">
        <w:t xml:space="preserve">Les progrès sont variables </w:t>
      </w:r>
      <w:r>
        <w:t>selon le contexte socio-sanitaire</w:t>
      </w:r>
      <w:r w:rsidR="00327875">
        <w:t xml:space="preserve">, les capacités des pays </w:t>
      </w:r>
      <w:r>
        <w:t>et l</w:t>
      </w:r>
      <w:r w:rsidR="00327875">
        <w:t>e sérieux d</w:t>
      </w:r>
      <w:r>
        <w:t xml:space="preserve">es engagements politiques. </w:t>
      </w:r>
      <w:r w:rsidR="00A11379">
        <w:t xml:space="preserve">Ces pays </w:t>
      </w:r>
      <w:r w:rsidR="00327875">
        <w:t>ont un niveau él</w:t>
      </w:r>
      <w:r w:rsidR="000F60D0">
        <w:t>e</w:t>
      </w:r>
      <w:r w:rsidR="00327875">
        <w:t xml:space="preserve">vé de pauvreté  et une </w:t>
      </w:r>
      <w:r w:rsidR="000F60D0">
        <w:t xml:space="preserve">prépondérance </w:t>
      </w:r>
      <w:r w:rsidR="00327875">
        <w:t>des activités primaires et du secteur informel</w:t>
      </w:r>
      <w:r w:rsidR="00A11379">
        <w:t xml:space="preserve">. </w:t>
      </w:r>
      <w:r w:rsidR="00194CAD">
        <w:t>P</w:t>
      </w:r>
      <w:r w:rsidR="00A11379">
        <w:t>lusieurs initiatives ont été entreprise</w:t>
      </w:r>
      <w:r w:rsidR="006F1192">
        <w:t>s</w:t>
      </w:r>
      <w:r w:rsidR="00A11379">
        <w:t xml:space="preserve"> pour </w:t>
      </w:r>
      <w:r w:rsidR="00327875">
        <w:t xml:space="preserve">réduire l’obstacle </w:t>
      </w:r>
      <w:r w:rsidR="0048464D">
        <w:t xml:space="preserve">financier </w:t>
      </w:r>
      <w:r w:rsidR="00327875">
        <w:t xml:space="preserve">à l’accès </w:t>
      </w:r>
      <w:r w:rsidR="0048464D">
        <w:t xml:space="preserve">aux soins de santé, notamment pour les groupes vulnérables et </w:t>
      </w:r>
      <w:r w:rsidR="00327875">
        <w:t xml:space="preserve">ceux du </w:t>
      </w:r>
      <w:r w:rsidR="0048464D">
        <w:t xml:space="preserve">secteur informel. </w:t>
      </w:r>
      <w:r w:rsidR="00327875">
        <w:t xml:space="preserve">Elles sont loin  d’être suffisantes et efficaces. </w:t>
      </w:r>
      <w:r w:rsidR="00194CAD">
        <w:t xml:space="preserve">Le </w:t>
      </w:r>
      <w:r w:rsidR="003113BF">
        <w:t>cadre</w:t>
      </w:r>
      <w:r w:rsidR="00194CAD">
        <w:t xml:space="preserve"> </w:t>
      </w:r>
      <w:r w:rsidR="00327875">
        <w:t xml:space="preserve">législatif </w:t>
      </w:r>
      <w:r w:rsidR="005F285F">
        <w:t>et réglem</w:t>
      </w:r>
      <w:r w:rsidR="00194CAD">
        <w:t>entaire</w:t>
      </w:r>
      <w:r w:rsidR="005F285F">
        <w:t xml:space="preserve"> </w:t>
      </w:r>
      <w:r w:rsidR="00327875">
        <w:t xml:space="preserve">de la CSU ainsi que les </w:t>
      </w:r>
      <w:r w:rsidR="00194CAD">
        <w:t xml:space="preserve"> </w:t>
      </w:r>
      <w:r w:rsidR="005F285F">
        <w:t>pratiques actuel</w:t>
      </w:r>
      <w:r w:rsidR="00194CAD">
        <w:t>le</w:t>
      </w:r>
      <w:r w:rsidR="005F285F">
        <w:t xml:space="preserve">s de fonctionnement des mécanismes </w:t>
      </w:r>
      <w:r w:rsidR="003113BF">
        <w:t xml:space="preserve">et régimes </w:t>
      </w:r>
      <w:r w:rsidR="00946BA4">
        <w:t xml:space="preserve">censés aider  atteindre </w:t>
      </w:r>
      <w:r w:rsidR="005F285F">
        <w:t>la CSU constitue</w:t>
      </w:r>
      <w:r w:rsidR="00946BA4">
        <w:t>nt</w:t>
      </w:r>
      <w:r w:rsidR="005F285F">
        <w:t xml:space="preserve"> </w:t>
      </w:r>
      <w:r w:rsidR="000F60D0">
        <w:t xml:space="preserve">eux-mêmes </w:t>
      </w:r>
      <w:r w:rsidR="005F285F">
        <w:t>des défis.</w:t>
      </w:r>
    </w:p>
    <w:p w14:paraId="62BCD293" w14:textId="77777777" w:rsidR="006B014C" w:rsidRDefault="006B014C"/>
    <w:p w14:paraId="00E74C24" w14:textId="77777777" w:rsidR="006B014C" w:rsidRDefault="00F10C1D">
      <w:r w:rsidRPr="00194CAD">
        <w:rPr>
          <w:b/>
        </w:rPr>
        <w:t>Objectif </w:t>
      </w:r>
      <w:r>
        <w:t xml:space="preserve">: </w:t>
      </w:r>
      <w:r w:rsidR="00C91A5C">
        <w:t xml:space="preserve">Analyser </w:t>
      </w:r>
      <w:r w:rsidR="00946BA4">
        <w:t>le</w:t>
      </w:r>
      <w:r w:rsidR="000F60D0">
        <w:t>s</w:t>
      </w:r>
      <w:r>
        <w:t xml:space="preserve"> </w:t>
      </w:r>
      <w:r w:rsidR="00885A0B">
        <w:t>design/</w:t>
      </w:r>
      <w:r w:rsidR="00946BA4">
        <w:t>montage</w:t>
      </w:r>
      <w:r w:rsidR="000F60D0">
        <w:t>s</w:t>
      </w:r>
      <w:r w:rsidR="00946BA4">
        <w:t xml:space="preserve"> </w:t>
      </w:r>
      <w:r>
        <w:t xml:space="preserve"> </w:t>
      </w:r>
      <w:r w:rsidR="00194CAD">
        <w:t>I</w:t>
      </w:r>
      <w:r>
        <w:t>nstitutionnel</w:t>
      </w:r>
      <w:r w:rsidR="000F60D0">
        <w:t>s</w:t>
      </w:r>
      <w:r>
        <w:t xml:space="preserve"> </w:t>
      </w:r>
      <w:r w:rsidR="00194CAD">
        <w:t>(</w:t>
      </w:r>
      <w:r w:rsidR="00885A0B">
        <w:t>D</w:t>
      </w:r>
      <w:r w:rsidR="00194CAD">
        <w:t xml:space="preserve">I) </w:t>
      </w:r>
      <w:r w:rsidR="00946BA4">
        <w:t xml:space="preserve">et les </w:t>
      </w:r>
      <w:r w:rsidR="00194CAD">
        <w:t>P</w:t>
      </w:r>
      <w:r>
        <w:t xml:space="preserve">ratiques </w:t>
      </w:r>
      <w:r w:rsidR="00194CAD">
        <w:t>O</w:t>
      </w:r>
      <w:r>
        <w:t>rganisationnelles</w:t>
      </w:r>
      <w:r w:rsidR="00194CAD">
        <w:t xml:space="preserve"> (PO)</w:t>
      </w:r>
      <w:r>
        <w:t xml:space="preserve"> </w:t>
      </w:r>
      <w:r w:rsidR="00946BA4">
        <w:t xml:space="preserve">les plus fréquents </w:t>
      </w:r>
      <w:r w:rsidR="007674F2">
        <w:t>dans les stratégies CSU</w:t>
      </w:r>
      <w:r w:rsidR="00C91A5C">
        <w:t xml:space="preserve"> </w:t>
      </w:r>
      <w:r w:rsidR="006C440D">
        <w:t>pour</w:t>
      </w:r>
      <w:r w:rsidR="00C91A5C">
        <w:t xml:space="preserve"> </w:t>
      </w:r>
      <w:r w:rsidRPr="0048464D">
        <w:t xml:space="preserve">la prise en charge des groupes vulnérables </w:t>
      </w:r>
      <w:r w:rsidR="006C440D">
        <w:t xml:space="preserve">et </w:t>
      </w:r>
      <w:r w:rsidR="00946BA4">
        <w:t xml:space="preserve">ceux </w:t>
      </w:r>
      <w:r w:rsidR="006C440D">
        <w:t>du secteur informel.</w:t>
      </w:r>
    </w:p>
    <w:p w14:paraId="4460A26C" w14:textId="77777777" w:rsidR="006B014C" w:rsidRDefault="006B014C"/>
    <w:p w14:paraId="4A43DC8E" w14:textId="77777777" w:rsidR="002C6A4A" w:rsidRDefault="006B014C">
      <w:r w:rsidRPr="00194CAD">
        <w:rPr>
          <w:b/>
        </w:rPr>
        <w:t>Méthode </w:t>
      </w:r>
      <w:r>
        <w:t xml:space="preserve">: </w:t>
      </w:r>
      <w:r w:rsidR="00946BA4">
        <w:t xml:space="preserve">Sur la base de mots clés comme </w:t>
      </w:r>
      <w:r w:rsidR="005F1A3D">
        <w:t>design</w:t>
      </w:r>
      <w:r w:rsidR="00194CAD">
        <w:t xml:space="preserve"> /</w:t>
      </w:r>
      <w:r w:rsidR="005F1A3D">
        <w:t xml:space="preserve"> </w:t>
      </w:r>
      <w:r w:rsidR="00946BA4">
        <w:t xml:space="preserve">montage </w:t>
      </w:r>
      <w:r w:rsidR="005F1A3D">
        <w:t>institutionnel</w:t>
      </w:r>
      <w:r w:rsidR="00194CAD">
        <w:t>,</w:t>
      </w:r>
      <w:r w:rsidR="005F1A3D">
        <w:t xml:space="preserve"> CSU, CMU, organisationnel</w:t>
      </w:r>
      <w:r w:rsidR="00194CAD">
        <w:t>,</w:t>
      </w:r>
      <w:r w:rsidR="005F1A3D">
        <w:t xml:space="preserve"> UEMOA … </w:t>
      </w:r>
      <w:r w:rsidR="00885A0B">
        <w:t xml:space="preserve">Après application de critères de sélection, nous </w:t>
      </w:r>
      <w:r w:rsidR="00946BA4">
        <w:t>nous avons retenu et analysé 23 documents stratégiques et techniques du Mali, Sénégal, Côte d’Ivoire, Burkina Faso (considérés comme ayant des avancées significatives dans la mise en place de la CSU)</w:t>
      </w:r>
      <w:r w:rsidR="002C6A4A">
        <w:t>.</w:t>
      </w:r>
    </w:p>
    <w:p w14:paraId="2871184B" w14:textId="77777777" w:rsidR="005F285F" w:rsidRDefault="005F285F"/>
    <w:p w14:paraId="15BDAD85" w14:textId="77777777" w:rsidR="005F285F" w:rsidRPr="00194CAD" w:rsidRDefault="005F285F">
      <w:pPr>
        <w:rPr>
          <w:b/>
        </w:rPr>
      </w:pPr>
      <w:r w:rsidRPr="002E65F5">
        <w:rPr>
          <w:b/>
        </w:rPr>
        <w:t xml:space="preserve">Résultats </w:t>
      </w:r>
    </w:p>
    <w:p w14:paraId="28B68A9B" w14:textId="77777777" w:rsidR="00E711B1" w:rsidRDefault="003113BF">
      <w:r>
        <w:t xml:space="preserve">La revue de la littérature nous a permis de considérer </w:t>
      </w:r>
      <w:r w:rsidR="00C870C6">
        <w:t xml:space="preserve">i) </w:t>
      </w:r>
      <w:r>
        <w:t>les</w:t>
      </w:r>
      <w:r w:rsidRPr="003113BF">
        <w:t xml:space="preserve"> institutions </w:t>
      </w:r>
      <w:r w:rsidR="00224B42">
        <w:t>comme la combinaison</w:t>
      </w:r>
      <w:r w:rsidRPr="003113BF">
        <w:t xml:space="preserve"> de règles formelles</w:t>
      </w:r>
      <w:r w:rsidR="00224B42">
        <w:t xml:space="preserve"> ou</w:t>
      </w:r>
      <w:r w:rsidRPr="003113BF">
        <w:t xml:space="preserve"> informelles  </w:t>
      </w:r>
      <w:r w:rsidR="00C870C6">
        <w:t xml:space="preserve">et ii) </w:t>
      </w:r>
      <w:r w:rsidR="00C870C6" w:rsidRPr="00C870C6">
        <w:t>la pratique organisationnelle</w:t>
      </w:r>
      <w:r w:rsidR="00A42A51">
        <w:t>,</w:t>
      </w:r>
      <w:r w:rsidR="00C870C6" w:rsidRPr="00C870C6">
        <w:t xml:space="preserve"> comme </w:t>
      </w:r>
      <w:r w:rsidR="000F60D0">
        <w:t xml:space="preserve">l’interprétation et </w:t>
      </w:r>
      <w:r w:rsidR="00C870C6">
        <w:t>l’application</w:t>
      </w:r>
      <w:r w:rsidR="00C870C6" w:rsidRPr="00C870C6">
        <w:t xml:space="preserve"> </w:t>
      </w:r>
      <w:r w:rsidR="00C870C6">
        <w:t>des</w:t>
      </w:r>
      <w:r w:rsidR="00C870C6" w:rsidRPr="00C870C6">
        <w:t xml:space="preserve"> règles formelles, </w:t>
      </w:r>
      <w:r w:rsidR="00A42A51">
        <w:t>la</w:t>
      </w:r>
      <w:r w:rsidR="00C870C6" w:rsidRPr="00C870C6">
        <w:t xml:space="preserve"> capacité organisationnelle</w:t>
      </w:r>
      <w:r w:rsidR="00A42A51">
        <w:t xml:space="preserve"> et le capital de pratiques</w:t>
      </w:r>
      <w:r w:rsidR="00C870C6" w:rsidRPr="00C870C6">
        <w:t xml:space="preserve">. </w:t>
      </w:r>
      <w:r w:rsidR="00194CAD">
        <w:t xml:space="preserve">Les définitions </w:t>
      </w:r>
      <w:r w:rsidR="002C6A4A">
        <w:t xml:space="preserve">et études relatives au </w:t>
      </w:r>
      <w:r w:rsidR="00194CAD">
        <w:t>DIPO</w:t>
      </w:r>
      <w:r w:rsidR="007674F2">
        <w:t xml:space="preserve"> on</w:t>
      </w:r>
      <w:r w:rsidR="00931C8B">
        <w:t>t</w:t>
      </w:r>
      <w:r w:rsidR="007674F2">
        <w:t xml:space="preserve"> permis</w:t>
      </w:r>
      <w:r w:rsidR="00BD561E">
        <w:t xml:space="preserve"> </w:t>
      </w:r>
      <w:r w:rsidR="002C6A4A">
        <w:t>d’aller au delà</w:t>
      </w:r>
      <w:r w:rsidR="00BD561E">
        <w:t xml:space="preserve"> </w:t>
      </w:r>
      <w:r w:rsidR="002C6A4A">
        <w:t xml:space="preserve">du </w:t>
      </w:r>
      <w:r w:rsidR="00BD561E">
        <w:t xml:space="preserve">cadre d’analyse </w:t>
      </w:r>
      <w:r w:rsidR="002C6A4A">
        <w:t xml:space="preserve">construit </w:t>
      </w:r>
      <w:r w:rsidR="00BD561E">
        <w:t xml:space="preserve">autour des </w:t>
      </w:r>
      <w:r w:rsidR="002C6A4A">
        <w:t>fonctions du financement de la santé (collecte, mise en commun et achat de services)</w:t>
      </w:r>
      <w:r w:rsidR="002C6A4A">
        <w:rPr>
          <w:rStyle w:val="Marquenotebasdepage"/>
        </w:rPr>
        <w:footnoteReference w:id="1"/>
      </w:r>
      <w:r w:rsidR="002C6A4A">
        <w:t xml:space="preserve"> en ajoutant la dimension politique. Globalement, la plupart</w:t>
      </w:r>
      <w:r w:rsidR="002E65F5">
        <w:t xml:space="preserve"> des pays de la CEDEAO ne disposent de cadres régalien</w:t>
      </w:r>
      <w:r w:rsidR="00356C1E">
        <w:t>s</w:t>
      </w:r>
      <w:r w:rsidR="002E65F5">
        <w:t xml:space="preserve"> spécifiques à la CSU</w:t>
      </w:r>
      <w:r w:rsidR="002C6A4A">
        <w:t xml:space="preserve">. </w:t>
      </w:r>
      <w:r w:rsidR="00A42A51">
        <w:t>Dans les</w:t>
      </w:r>
      <w:r w:rsidR="00E612B3">
        <w:t xml:space="preserve"> pays étudiés</w:t>
      </w:r>
      <w:r w:rsidR="000F60D0">
        <w:t>,</w:t>
      </w:r>
      <w:r w:rsidR="00E612B3">
        <w:t xml:space="preserve"> il a été noté une fragmentation des lois, règlements et modalités de fonctionnement</w:t>
      </w:r>
      <w:r w:rsidR="00F93169" w:rsidRPr="00F93169">
        <w:t xml:space="preserve"> </w:t>
      </w:r>
      <w:r w:rsidR="00F93169">
        <w:t>par régime</w:t>
      </w:r>
      <w:r w:rsidR="000F60D0">
        <w:t xml:space="preserve"> de couverture sociale</w:t>
      </w:r>
      <w:r w:rsidR="00E612B3">
        <w:t xml:space="preserve">. </w:t>
      </w:r>
      <w:r w:rsidR="00F93169">
        <w:t xml:space="preserve">On </w:t>
      </w:r>
      <w:r w:rsidR="00946BA4">
        <w:t xml:space="preserve">aboutit au même constat avec les </w:t>
      </w:r>
      <w:r w:rsidR="00F93169">
        <w:t xml:space="preserve">documents sous régionaux. </w:t>
      </w:r>
    </w:p>
    <w:p w14:paraId="7DF01420" w14:textId="77777777" w:rsidR="009C68FD" w:rsidRDefault="009C68FD"/>
    <w:p w14:paraId="7E411C30" w14:textId="77777777" w:rsidR="00A52579" w:rsidRDefault="00F93169">
      <w:r>
        <w:t>L</w:t>
      </w:r>
      <w:r w:rsidR="00A52579">
        <w:t xml:space="preserve">es montages institutionnels </w:t>
      </w:r>
      <w:r w:rsidR="006C440D">
        <w:t xml:space="preserve">des organismes qui prennent en charge des groupes vulnérables et ruraux </w:t>
      </w:r>
      <w:r w:rsidR="00A62B89">
        <w:t xml:space="preserve">(notamment l’assurance maladie communautaire, les initiatives d’exemption et de subvention, qu’elles soient ciblées sur des catégories sociales ou sur des pathologies) </w:t>
      </w:r>
      <w:r w:rsidR="00A52579">
        <w:t xml:space="preserve">sont </w:t>
      </w:r>
      <w:r w:rsidR="006C440D">
        <w:t xml:space="preserve">également </w:t>
      </w:r>
      <w:r w:rsidR="00A52579">
        <w:t>organisés par régimes</w:t>
      </w:r>
      <w:r w:rsidR="00E711B1">
        <w:t xml:space="preserve">. </w:t>
      </w:r>
      <w:r w:rsidR="009C68FD">
        <w:t xml:space="preserve">80% des documents se réfèrent explicitement aux pratiques gestionnaires et administratives antérieures </w:t>
      </w:r>
      <w:r w:rsidR="00946BA4">
        <w:t xml:space="preserve"> </w:t>
      </w:r>
      <w:r w:rsidR="009C68FD">
        <w:t>à la stratégie CSU. L</w:t>
      </w:r>
      <w:r>
        <w:t>es mécanismes politiques de concertation et d’articulation ne sont pas organisés</w:t>
      </w:r>
      <w:r w:rsidR="00A52579">
        <w:t xml:space="preserve">. </w:t>
      </w:r>
      <w:r w:rsidR="00E612B3">
        <w:t xml:space="preserve">Au niveau régional, une harmonisation de pratiques gestionnaires </w:t>
      </w:r>
      <w:r w:rsidR="00780037">
        <w:t xml:space="preserve">et de législation est </w:t>
      </w:r>
      <w:r w:rsidR="00E612B3">
        <w:t xml:space="preserve">en œuvre, mais  </w:t>
      </w:r>
      <w:r w:rsidR="00A52579">
        <w:t xml:space="preserve">réservée </w:t>
      </w:r>
      <w:r w:rsidR="00946BA4">
        <w:t xml:space="preserve">seulement </w:t>
      </w:r>
      <w:r w:rsidR="00A52579">
        <w:t>aux mutuelles de santé.</w:t>
      </w:r>
      <w:r w:rsidRPr="00F93169">
        <w:t xml:space="preserve"> </w:t>
      </w:r>
      <w:r>
        <w:t xml:space="preserve">Les dispositifs normatifs ne sont </w:t>
      </w:r>
      <w:r w:rsidR="00780037">
        <w:t xml:space="preserve">pas </w:t>
      </w:r>
      <w:r>
        <w:t>accompagnés de modalités d’application.</w:t>
      </w:r>
      <w:r w:rsidR="00931C8B">
        <w:t xml:space="preserve"> Pour les autres mécanismes, il n’y a pas de dynamique communautaire.</w:t>
      </w:r>
    </w:p>
    <w:p w14:paraId="22E3545A" w14:textId="77777777" w:rsidR="00931C8B" w:rsidRDefault="00931C8B"/>
    <w:p w14:paraId="0627BE5D" w14:textId="77777777" w:rsidR="00F93169" w:rsidRDefault="000C6051">
      <w:r>
        <w:t>Pour ce qui est</w:t>
      </w:r>
      <w:r w:rsidR="009A71C8">
        <w:t xml:space="preserve"> des mécanismes de coordination technique et politiques</w:t>
      </w:r>
      <w:r>
        <w:t xml:space="preserve">, tous les pays disposent d’institutions </w:t>
      </w:r>
      <w:r w:rsidR="000F60D0">
        <w:t xml:space="preserve">par </w:t>
      </w:r>
      <w:r>
        <w:t xml:space="preserve">régime. </w:t>
      </w:r>
      <w:r w:rsidR="0011267A">
        <w:t>Cependant, pour l’assurance, les points de collecte ne sont pas toujours accessible</w:t>
      </w:r>
      <w:r w:rsidR="00D91DC3">
        <w:t>s</w:t>
      </w:r>
      <w:r w:rsidR="0011267A">
        <w:t>, ni la méthode cohérente.</w:t>
      </w:r>
      <w:r w:rsidR="00E65A35">
        <w:t xml:space="preserve"> Ceci révèle </w:t>
      </w:r>
      <w:r w:rsidR="000F60D0">
        <w:t xml:space="preserve">cinq </w:t>
      </w:r>
      <w:r w:rsidR="00E711B1">
        <w:t>points critiques</w:t>
      </w:r>
      <w:r w:rsidR="009A71C8">
        <w:t> :</w:t>
      </w:r>
    </w:p>
    <w:p w14:paraId="3DBEBC12" w14:textId="77777777" w:rsidR="00D91DC3" w:rsidRDefault="009A71C8" w:rsidP="009A71C8">
      <w:pPr>
        <w:pStyle w:val="Paragraphedeliste"/>
        <w:numPr>
          <w:ilvl w:val="0"/>
          <w:numId w:val="1"/>
        </w:numPr>
      </w:pPr>
      <w:r>
        <w:t>La collecte des ressources : tous les pays adoptent encore le caractère volontaire de l’adhésion à l’assurance maladie</w:t>
      </w:r>
      <w:r w:rsidR="007F2D43">
        <w:t xml:space="preserve"> communautaire</w:t>
      </w:r>
      <w:r w:rsidR="00885A0B">
        <w:t>, ce qui laisse la place aux</w:t>
      </w:r>
      <w:r w:rsidR="00780037">
        <w:t xml:space="preserve"> risques </w:t>
      </w:r>
      <w:r w:rsidR="00885A0B">
        <w:t>majeurs tels que la sélection adverse</w:t>
      </w:r>
      <w:r>
        <w:t xml:space="preserve">. </w:t>
      </w:r>
    </w:p>
    <w:p w14:paraId="5941C08D" w14:textId="77777777" w:rsidR="009A71C8" w:rsidRDefault="00F42D81" w:rsidP="009A71C8">
      <w:pPr>
        <w:pStyle w:val="Paragraphedeliste"/>
        <w:numPr>
          <w:ilvl w:val="0"/>
          <w:numId w:val="1"/>
        </w:numPr>
      </w:pPr>
      <w:r>
        <w:t>Toutes l</w:t>
      </w:r>
      <w:r w:rsidR="009A71C8">
        <w:t>es initiatives de gratuité ne sont pas institutionnalisées</w:t>
      </w:r>
      <w:r>
        <w:t xml:space="preserve"> et n’ont pas de plan </w:t>
      </w:r>
      <w:r w:rsidR="00D91DC3">
        <w:t xml:space="preserve">crédible </w:t>
      </w:r>
      <w:r>
        <w:t>de pérennisation</w:t>
      </w:r>
      <w:r w:rsidR="009A71C8">
        <w:t xml:space="preserve">. </w:t>
      </w:r>
    </w:p>
    <w:p w14:paraId="4A84BC09" w14:textId="77777777" w:rsidR="009A71C8" w:rsidRDefault="009A71C8" w:rsidP="009A71C8">
      <w:pPr>
        <w:pStyle w:val="Paragraphedeliste"/>
        <w:numPr>
          <w:ilvl w:val="0"/>
          <w:numId w:val="1"/>
        </w:numPr>
      </w:pPr>
      <w:r>
        <w:t>La mise en commun des ressources</w:t>
      </w:r>
      <w:r w:rsidR="00EB20BD">
        <w:t xml:space="preserve"> : la fragmentation des régimes </w:t>
      </w:r>
      <w:r w:rsidR="00F42D81">
        <w:t>compromet le</w:t>
      </w:r>
      <w:r w:rsidR="00EB20BD">
        <w:t xml:space="preserve"> partage du risque</w:t>
      </w:r>
      <w:r w:rsidR="00F42D81">
        <w:t xml:space="preserve"> et </w:t>
      </w:r>
      <w:r w:rsidR="00D91DC3">
        <w:t xml:space="preserve">la recherche de </w:t>
      </w:r>
      <w:r w:rsidR="00F42D81">
        <w:t>l’équité</w:t>
      </w:r>
      <w:r w:rsidR="00931C8B">
        <w:t xml:space="preserve">. </w:t>
      </w:r>
      <w:r w:rsidR="00BD3645">
        <w:t xml:space="preserve">On note une tension entre l’allocation </w:t>
      </w:r>
      <w:r w:rsidR="00885A0B">
        <w:t xml:space="preserve">des ressources </w:t>
      </w:r>
      <w:r w:rsidR="00BD3645">
        <w:t>basée sur le besoin et celle basée sur la catégorie socio-professionnelle</w:t>
      </w:r>
    </w:p>
    <w:p w14:paraId="612E84CD" w14:textId="77777777" w:rsidR="000F60D0" w:rsidRDefault="009A71C8" w:rsidP="009A71C8">
      <w:pPr>
        <w:pStyle w:val="Paragraphedeliste"/>
        <w:numPr>
          <w:ilvl w:val="0"/>
          <w:numId w:val="1"/>
        </w:numPr>
      </w:pPr>
      <w:r>
        <w:t>L’achat de services</w:t>
      </w:r>
      <w:r w:rsidR="000C6051">
        <w:t xml:space="preserve"> : les méthodes de paiement des prestataires n’offrent pas une protection </w:t>
      </w:r>
      <w:r w:rsidR="00D91DC3">
        <w:t xml:space="preserve">contre les </w:t>
      </w:r>
      <w:r w:rsidR="000C6051">
        <w:t xml:space="preserve"> risques catastrophiques.</w:t>
      </w:r>
      <w:r w:rsidR="00F42D81">
        <w:t xml:space="preserve"> </w:t>
      </w:r>
    </w:p>
    <w:p w14:paraId="50A99D04" w14:textId="77777777" w:rsidR="009A71C8" w:rsidRDefault="00F42D81" w:rsidP="009A71C8">
      <w:pPr>
        <w:pStyle w:val="Paragraphedeliste"/>
        <w:numPr>
          <w:ilvl w:val="0"/>
          <w:numId w:val="1"/>
        </w:numPr>
      </w:pPr>
      <w:r>
        <w:t xml:space="preserve">D’importants lacunes et dysfonctionnements </w:t>
      </w:r>
      <w:r w:rsidR="00C9448F">
        <w:t xml:space="preserve">sont notés </w:t>
      </w:r>
      <w:r>
        <w:t xml:space="preserve">dans les relations </w:t>
      </w:r>
      <w:r w:rsidR="00D91DC3">
        <w:t xml:space="preserve">entre </w:t>
      </w:r>
      <w:r>
        <w:t>bénéficiaires – payeurs – prestataires.</w:t>
      </w:r>
    </w:p>
    <w:p w14:paraId="15F9758D" w14:textId="77777777" w:rsidR="00F93169" w:rsidRDefault="00F93169"/>
    <w:p w14:paraId="1E1F668F" w14:textId="77777777" w:rsidR="005F1A3D" w:rsidRPr="006C440D" w:rsidRDefault="005F1A3D">
      <w:pPr>
        <w:rPr>
          <w:b/>
        </w:rPr>
      </w:pPr>
      <w:r w:rsidRPr="006C440D">
        <w:rPr>
          <w:b/>
        </w:rPr>
        <w:t>Conclusion</w:t>
      </w:r>
    </w:p>
    <w:p w14:paraId="35AE489A" w14:textId="77777777" w:rsidR="005F1A3D" w:rsidRDefault="000C6051">
      <w:r>
        <w:t>Le mode de fonctionnement des organisations, la faiblesse de</w:t>
      </w:r>
      <w:r w:rsidR="007359F8">
        <w:t xml:space="preserve"> leurs </w:t>
      </w:r>
      <w:r>
        <w:t xml:space="preserve">relations et </w:t>
      </w:r>
      <w:r w:rsidR="00E612B3">
        <w:t xml:space="preserve"> mise en œuvre des normes et règles </w:t>
      </w:r>
      <w:r w:rsidR="00D91DC3">
        <w:t xml:space="preserve">en place </w:t>
      </w:r>
      <w:r w:rsidR="00E612B3">
        <w:t xml:space="preserve">ne </w:t>
      </w:r>
      <w:r>
        <w:t>facilitent</w:t>
      </w:r>
      <w:r w:rsidR="00E612B3">
        <w:t xml:space="preserve"> </w:t>
      </w:r>
      <w:r w:rsidR="00D91DC3">
        <w:t xml:space="preserve"> ni l</w:t>
      </w:r>
      <w:r>
        <w:t>es progrès vers la CSU</w:t>
      </w:r>
      <w:r w:rsidR="00D91DC3">
        <w:t xml:space="preserve"> et leur mesure ni l’évaluation des </w:t>
      </w:r>
      <w:r>
        <w:t>performance</w:t>
      </w:r>
      <w:r w:rsidR="00D91DC3">
        <w:t>s</w:t>
      </w:r>
      <w:r>
        <w:t xml:space="preserve"> des institutions</w:t>
      </w:r>
      <w:r w:rsidR="00E65A35">
        <w:t xml:space="preserve"> et leur capacité d’adaptation. </w:t>
      </w:r>
      <w:r w:rsidR="00D91DC3">
        <w:t>Les résultats</w:t>
      </w:r>
      <w:r w:rsidR="00E65A35">
        <w:t xml:space="preserve"> de c</w:t>
      </w:r>
      <w:r w:rsidR="005F1A3D">
        <w:t xml:space="preserve">ette recherche initiale </w:t>
      </w:r>
      <w:r w:rsidR="00E65A35">
        <w:t xml:space="preserve">sur le </w:t>
      </w:r>
      <w:r w:rsidR="00931C8B">
        <w:t>DIPO</w:t>
      </w:r>
      <w:r w:rsidR="00E65A35">
        <w:t xml:space="preserve"> de</w:t>
      </w:r>
      <w:r w:rsidR="00D91DC3">
        <w:t xml:space="preserve">  certains </w:t>
      </w:r>
      <w:r w:rsidR="00E65A35">
        <w:t xml:space="preserve"> pays africains suggèrent l’</w:t>
      </w:r>
      <w:r w:rsidR="005F1A3D">
        <w:t xml:space="preserve">urgente </w:t>
      </w:r>
      <w:r w:rsidR="00E65A35">
        <w:t xml:space="preserve">nécessité de peaufiner le cadre d’analyse du DIPO et </w:t>
      </w:r>
      <w:r w:rsidR="00D91DC3">
        <w:t>l</w:t>
      </w:r>
      <w:r w:rsidR="00E65A35">
        <w:t>es</w:t>
      </w:r>
      <w:r w:rsidR="00DE51B3">
        <w:t xml:space="preserve"> </w:t>
      </w:r>
      <w:r w:rsidR="00DA641B">
        <w:t>déterminants</w:t>
      </w:r>
      <w:r w:rsidR="00DE51B3">
        <w:t xml:space="preserve"> </w:t>
      </w:r>
      <w:r w:rsidR="00D91DC3">
        <w:t xml:space="preserve">des </w:t>
      </w:r>
      <w:r w:rsidR="00E65A35">
        <w:t>progrès</w:t>
      </w:r>
      <w:r w:rsidR="00DA641B">
        <w:t xml:space="preserve"> </w:t>
      </w:r>
      <w:r w:rsidR="00E65A35">
        <w:t>vers</w:t>
      </w:r>
      <w:r w:rsidR="00DA641B">
        <w:t xml:space="preserve"> la </w:t>
      </w:r>
      <w:r w:rsidR="00DE51B3">
        <w:t xml:space="preserve">CSU. </w:t>
      </w:r>
      <w:r w:rsidR="00D91DC3">
        <w:t xml:space="preserve">Le dépassement du cadre administratif et la promotion d’un cadre </w:t>
      </w:r>
      <w:r w:rsidR="00DA641B">
        <w:t>communautaire produi</w:t>
      </w:r>
      <w:r w:rsidR="00DE51B3">
        <w:t xml:space="preserve">ra un gain </w:t>
      </w:r>
      <w:r w:rsidR="00D91DC3">
        <w:t xml:space="preserve">certain sur le plan </w:t>
      </w:r>
      <w:r w:rsidR="00DE51B3">
        <w:t>économique</w:t>
      </w:r>
      <w:r w:rsidR="00D91DC3">
        <w:t xml:space="preserve"> et </w:t>
      </w:r>
      <w:r w:rsidR="00DE51B3">
        <w:t xml:space="preserve">organisationnel et facilitera </w:t>
      </w:r>
      <w:r w:rsidR="00D91DC3">
        <w:t xml:space="preserve">à terme </w:t>
      </w:r>
      <w:r w:rsidR="00DE51B3">
        <w:t xml:space="preserve">le suivi et </w:t>
      </w:r>
      <w:r w:rsidR="00BE7617">
        <w:t xml:space="preserve">la mise en œuvre </w:t>
      </w:r>
      <w:r w:rsidR="00DE51B3">
        <w:t>pour les ensembles régionaux</w:t>
      </w:r>
      <w:r w:rsidR="00BE7617">
        <w:t xml:space="preserve"> d’une </w:t>
      </w:r>
      <w:r w:rsidR="007359F8">
        <w:t xml:space="preserve">réelle </w:t>
      </w:r>
      <w:r w:rsidR="00DE51B3">
        <w:t>démarche communautaire.</w:t>
      </w:r>
    </w:p>
    <w:sectPr w:rsidR="005F1A3D" w:rsidSect="005C35DD">
      <w:pgSz w:w="11900" w:h="16840"/>
      <w:pgMar w:top="1418" w:right="1418" w:bottom="1418" w:left="1418" w:header="113" w:footer="7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7BDFD" w14:textId="77777777" w:rsidR="00333A54" w:rsidRDefault="00333A54" w:rsidP="002C6A4A">
      <w:r>
        <w:separator/>
      </w:r>
    </w:p>
  </w:endnote>
  <w:endnote w:type="continuationSeparator" w:id="0">
    <w:p w14:paraId="1AD36F08" w14:textId="77777777" w:rsidR="00333A54" w:rsidRDefault="00333A54" w:rsidP="002C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93DB8" w14:textId="77777777" w:rsidR="00333A54" w:rsidRDefault="00333A54" w:rsidP="002C6A4A">
      <w:r>
        <w:separator/>
      </w:r>
    </w:p>
  </w:footnote>
  <w:footnote w:type="continuationSeparator" w:id="0">
    <w:p w14:paraId="17DB6D8B" w14:textId="77777777" w:rsidR="00333A54" w:rsidRDefault="00333A54" w:rsidP="002C6A4A">
      <w:r>
        <w:continuationSeparator/>
      </w:r>
    </w:p>
  </w:footnote>
  <w:footnote w:id="1">
    <w:p w14:paraId="3277E5B5" w14:textId="77777777" w:rsidR="00BD3645" w:rsidRDefault="00BD3645">
      <w:pPr>
        <w:pStyle w:val="Notedebasdepage"/>
      </w:pPr>
      <w:r>
        <w:rPr>
          <w:rStyle w:val="Marquenotebasdepage"/>
        </w:rPr>
        <w:footnoteRef/>
      </w:r>
      <w:r w:rsidRPr="00327875">
        <w:rPr>
          <w:lang w:val="en-US"/>
        </w:rPr>
        <w:t xml:space="preserve"> </w:t>
      </w:r>
      <w:r w:rsidRPr="00327875">
        <w:rPr>
          <w:sz w:val="18"/>
          <w:szCs w:val="18"/>
          <w:lang w:val="en-US"/>
        </w:rPr>
        <w:t xml:space="preserve">Mathauer I, Carrin G. The role of institutional design and organizational practice for health financing performance and universal coverage. </w:t>
      </w:r>
      <w:proofErr w:type="spellStart"/>
      <w:r w:rsidRPr="002C6A4A">
        <w:rPr>
          <w:i/>
          <w:iCs/>
          <w:sz w:val="18"/>
          <w:szCs w:val="18"/>
        </w:rPr>
        <w:t>Health</w:t>
      </w:r>
      <w:proofErr w:type="spellEnd"/>
      <w:r w:rsidRPr="002C6A4A">
        <w:rPr>
          <w:i/>
          <w:iCs/>
          <w:sz w:val="18"/>
          <w:szCs w:val="18"/>
        </w:rPr>
        <w:t xml:space="preserve"> Policy</w:t>
      </w:r>
      <w:r w:rsidRPr="002C6A4A">
        <w:rPr>
          <w:sz w:val="18"/>
          <w:szCs w:val="18"/>
        </w:rPr>
        <w:t xml:space="preserve"> 2011;99(3):183-192. doi:10.1016/j.healthpol.2010.09.013.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F226D"/>
    <w:multiLevelType w:val="hybridMultilevel"/>
    <w:tmpl w:val="0106C550"/>
    <w:lvl w:ilvl="0" w:tplc="D22EE4B8">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4C"/>
    <w:rsid w:val="00015C6E"/>
    <w:rsid w:val="00017070"/>
    <w:rsid w:val="000C6051"/>
    <w:rsid w:val="000F60D0"/>
    <w:rsid w:val="0011267A"/>
    <w:rsid w:val="00194CAD"/>
    <w:rsid w:val="00224B42"/>
    <w:rsid w:val="002C6A4A"/>
    <w:rsid w:val="002E65F5"/>
    <w:rsid w:val="003113BF"/>
    <w:rsid w:val="00327875"/>
    <w:rsid w:val="00333A54"/>
    <w:rsid w:val="00356C1E"/>
    <w:rsid w:val="0048464D"/>
    <w:rsid w:val="00520576"/>
    <w:rsid w:val="00527341"/>
    <w:rsid w:val="00535F07"/>
    <w:rsid w:val="0056053E"/>
    <w:rsid w:val="005C35DD"/>
    <w:rsid w:val="005F1A3D"/>
    <w:rsid w:val="005F285F"/>
    <w:rsid w:val="00604285"/>
    <w:rsid w:val="006B014C"/>
    <w:rsid w:val="006C440D"/>
    <w:rsid w:val="006F1192"/>
    <w:rsid w:val="00702935"/>
    <w:rsid w:val="007200DE"/>
    <w:rsid w:val="007359F8"/>
    <w:rsid w:val="007674F2"/>
    <w:rsid w:val="00780037"/>
    <w:rsid w:val="0078798D"/>
    <w:rsid w:val="007F2D43"/>
    <w:rsid w:val="00885A0B"/>
    <w:rsid w:val="008A5590"/>
    <w:rsid w:val="00922638"/>
    <w:rsid w:val="00931C8B"/>
    <w:rsid w:val="00946BA4"/>
    <w:rsid w:val="009A71C8"/>
    <w:rsid w:val="009C68FD"/>
    <w:rsid w:val="00A11379"/>
    <w:rsid w:val="00A42A51"/>
    <w:rsid w:val="00A52579"/>
    <w:rsid w:val="00A62B89"/>
    <w:rsid w:val="00BD3645"/>
    <w:rsid w:val="00BD561E"/>
    <w:rsid w:val="00BE7617"/>
    <w:rsid w:val="00C870C6"/>
    <w:rsid w:val="00C91A5C"/>
    <w:rsid w:val="00C9448F"/>
    <w:rsid w:val="00CD40B0"/>
    <w:rsid w:val="00D34BCF"/>
    <w:rsid w:val="00D91DC3"/>
    <w:rsid w:val="00DA641B"/>
    <w:rsid w:val="00DE51B3"/>
    <w:rsid w:val="00E03F59"/>
    <w:rsid w:val="00E612B3"/>
    <w:rsid w:val="00E65A35"/>
    <w:rsid w:val="00E711B1"/>
    <w:rsid w:val="00EB20BD"/>
    <w:rsid w:val="00F10C1D"/>
    <w:rsid w:val="00F42D81"/>
    <w:rsid w:val="00F93169"/>
    <w:rsid w:val="00F93C25"/>
    <w:rsid w:val="00FA36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341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C6A4A"/>
    <w:pPr>
      <w:spacing w:before="100" w:beforeAutospacing="1" w:after="100" w:afterAutospacing="1"/>
    </w:pPr>
    <w:rPr>
      <w:rFonts w:ascii="Times" w:hAnsi="Times" w:cs="Times New Roman"/>
      <w:sz w:val="20"/>
      <w:szCs w:val="20"/>
      <w:lang w:val="fr-BE"/>
    </w:rPr>
  </w:style>
  <w:style w:type="paragraph" w:styleId="Notedebasdepage">
    <w:name w:val="footnote text"/>
    <w:basedOn w:val="Normal"/>
    <w:link w:val="NotedebasdepageCar"/>
    <w:uiPriority w:val="99"/>
    <w:unhideWhenUsed/>
    <w:rsid w:val="002C6A4A"/>
  </w:style>
  <w:style w:type="character" w:customStyle="1" w:styleId="NotedebasdepageCar">
    <w:name w:val="Note de bas de page Car"/>
    <w:basedOn w:val="Policepardfaut"/>
    <w:link w:val="Notedebasdepage"/>
    <w:uiPriority w:val="99"/>
    <w:rsid w:val="002C6A4A"/>
  </w:style>
  <w:style w:type="character" w:styleId="Marquenotebasdepage">
    <w:name w:val="footnote reference"/>
    <w:basedOn w:val="Policepardfaut"/>
    <w:uiPriority w:val="99"/>
    <w:unhideWhenUsed/>
    <w:rsid w:val="002C6A4A"/>
    <w:rPr>
      <w:vertAlign w:val="superscript"/>
    </w:rPr>
  </w:style>
  <w:style w:type="paragraph" w:styleId="Paragraphedeliste">
    <w:name w:val="List Paragraph"/>
    <w:basedOn w:val="Normal"/>
    <w:uiPriority w:val="34"/>
    <w:qFormat/>
    <w:rsid w:val="009A71C8"/>
    <w:pPr>
      <w:ind w:left="720"/>
      <w:contextualSpacing/>
    </w:pPr>
  </w:style>
  <w:style w:type="paragraph" w:styleId="Textedebulles">
    <w:name w:val="Balloon Text"/>
    <w:basedOn w:val="Normal"/>
    <w:link w:val="TextedebullesCar"/>
    <w:uiPriority w:val="99"/>
    <w:semiHidden/>
    <w:unhideWhenUsed/>
    <w:rsid w:val="00327875"/>
    <w:rPr>
      <w:rFonts w:ascii="Tahoma" w:hAnsi="Tahoma" w:cs="Tahoma"/>
      <w:sz w:val="16"/>
      <w:szCs w:val="16"/>
    </w:rPr>
  </w:style>
  <w:style w:type="character" w:customStyle="1" w:styleId="TextedebullesCar">
    <w:name w:val="Texte de bulles Car"/>
    <w:basedOn w:val="Policepardfaut"/>
    <w:link w:val="Textedebulles"/>
    <w:uiPriority w:val="99"/>
    <w:semiHidden/>
    <w:rsid w:val="00327875"/>
    <w:rPr>
      <w:rFonts w:ascii="Tahoma" w:hAnsi="Tahoma" w:cs="Tahoma"/>
      <w:sz w:val="16"/>
      <w:szCs w:val="16"/>
    </w:rPr>
  </w:style>
  <w:style w:type="character" w:styleId="Marquedannotation">
    <w:name w:val="annotation reference"/>
    <w:basedOn w:val="Policepardfaut"/>
    <w:uiPriority w:val="99"/>
    <w:semiHidden/>
    <w:unhideWhenUsed/>
    <w:rsid w:val="00946BA4"/>
    <w:rPr>
      <w:sz w:val="16"/>
      <w:szCs w:val="16"/>
    </w:rPr>
  </w:style>
  <w:style w:type="paragraph" w:styleId="Commentaire">
    <w:name w:val="annotation text"/>
    <w:basedOn w:val="Normal"/>
    <w:link w:val="CommentaireCar"/>
    <w:uiPriority w:val="99"/>
    <w:semiHidden/>
    <w:unhideWhenUsed/>
    <w:rsid w:val="00946BA4"/>
    <w:rPr>
      <w:sz w:val="20"/>
      <w:szCs w:val="20"/>
    </w:rPr>
  </w:style>
  <w:style w:type="character" w:customStyle="1" w:styleId="CommentaireCar">
    <w:name w:val="Commentaire Car"/>
    <w:basedOn w:val="Policepardfaut"/>
    <w:link w:val="Commentaire"/>
    <w:uiPriority w:val="99"/>
    <w:semiHidden/>
    <w:rsid w:val="00946BA4"/>
    <w:rPr>
      <w:sz w:val="20"/>
      <w:szCs w:val="20"/>
    </w:rPr>
  </w:style>
  <w:style w:type="paragraph" w:styleId="Objetducommentaire">
    <w:name w:val="annotation subject"/>
    <w:basedOn w:val="Commentaire"/>
    <w:next w:val="Commentaire"/>
    <w:link w:val="ObjetducommentaireCar"/>
    <w:uiPriority w:val="99"/>
    <w:semiHidden/>
    <w:unhideWhenUsed/>
    <w:rsid w:val="00946BA4"/>
    <w:rPr>
      <w:b/>
      <w:bCs/>
    </w:rPr>
  </w:style>
  <w:style w:type="character" w:customStyle="1" w:styleId="ObjetducommentaireCar">
    <w:name w:val="Objet du commentaire Car"/>
    <w:basedOn w:val="CommentaireCar"/>
    <w:link w:val="Objetducommentaire"/>
    <w:uiPriority w:val="99"/>
    <w:semiHidden/>
    <w:rsid w:val="00946BA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C6A4A"/>
    <w:pPr>
      <w:spacing w:before="100" w:beforeAutospacing="1" w:after="100" w:afterAutospacing="1"/>
    </w:pPr>
    <w:rPr>
      <w:rFonts w:ascii="Times" w:hAnsi="Times" w:cs="Times New Roman"/>
      <w:sz w:val="20"/>
      <w:szCs w:val="20"/>
      <w:lang w:val="fr-BE"/>
    </w:rPr>
  </w:style>
  <w:style w:type="paragraph" w:styleId="Notedebasdepage">
    <w:name w:val="footnote text"/>
    <w:basedOn w:val="Normal"/>
    <w:link w:val="NotedebasdepageCar"/>
    <w:uiPriority w:val="99"/>
    <w:unhideWhenUsed/>
    <w:rsid w:val="002C6A4A"/>
  </w:style>
  <w:style w:type="character" w:customStyle="1" w:styleId="NotedebasdepageCar">
    <w:name w:val="Note de bas de page Car"/>
    <w:basedOn w:val="Policepardfaut"/>
    <w:link w:val="Notedebasdepage"/>
    <w:uiPriority w:val="99"/>
    <w:rsid w:val="002C6A4A"/>
  </w:style>
  <w:style w:type="character" w:styleId="Marquenotebasdepage">
    <w:name w:val="footnote reference"/>
    <w:basedOn w:val="Policepardfaut"/>
    <w:uiPriority w:val="99"/>
    <w:unhideWhenUsed/>
    <w:rsid w:val="002C6A4A"/>
    <w:rPr>
      <w:vertAlign w:val="superscript"/>
    </w:rPr>
  </w:style>
  <w:style w:type="paragraph" w:styleId="Paragraphedeliste">
    <w:name w:val="List Paragraph"/>
    <w:basedOn w:val="Normal"/>
    <w:uiPriority w:val="34"/>
    <w:qFormat/>
    <w:rsid w:val="009A71C8"/>
    <w:pPr>
      <w:ind w:left="720"/>
      <w:contextualSpacing/>
    </w:pPr>
  </w:style>
  <w:style w:type="paragraph" w:styleId="Textedebulles">
    <w:name w:val="Balloon Text"/>
    <w:basedOn w:val="Normal"/>
    <w:link w:val="TextedebullesCar"/>
    <w:uiPriority w:val="99"/>
    <w:semiHidden/>
    <w:unhideWhenUsed/>
    <w:rsid w:val="00327875"/>
    <w:rPr>
      <w:rFonts w:ascii="Tahoma" w:hAnsi="Tahoma" w:cs="Tahoma"/>
      <w:sz w:val="16"/>
      <w:szCs w:val="16"/>
    </w:rPr>
  </w:style>
  <w:style w:type="character" w:customStyle="1" w:styleId="TextedebullesCar">
    <w:name w:val="Texte de bulles Car"/>
    <w:basedOn w:val="Policepardfaut"/>
    <w:link w:val="Textedebulles"/>
    <w:uiPriority w:val="99"/>
    <w:semiHidden/>
    <w:rsid w:val="00327875"/>
    <w:rPr>
      <w:rFonts w:ascii="Tahoma" w:hAnsi="Tahoma" w:cs="Tahoma"/>
      <w:sz w:val="16"/>
      <w:szCs w:val="16"/>
    </w:rPr>
  </w:style>
  <w:style w:type="character" w:styleId="Marquedannotation">
    <w:name w:val="annotation reference"/>
    <w:basedOn w:val="Policepardfaut"/>
    <w:uiPriority w:val="99"/>
    <w:semiHidden/>
    <w:unhideWhenUsed/>
    <w:rsid w:val="00946BA4"/>
    <w:rPr>
      <w:sz w:val="16"/>
      <w:szCs w:val="16"/>
    </w:rPr>
  </w:style>
  <w:style w:type="paragraph" w:styleId="Commentaire">
    <w:name w:val="annotation text"/>
    <w:basedOn w:val="Normal"/>
    <w:link w:val="CommentaireCar"/>
    <w:uiPriority w:val="99"/>
    <w:semiHidden/>
    <w:unhideWhenUsed/>
    <w:rsid w:val="00946BA4"/>
    <w:rPr>
      <w:sz w:val="20"/>
      <w:szCs w:val="20"/>
    </w:rPr>
  </w:style>
  <w:style w:type="character" w:customStyle="1" w:styleId="CommentaireCar">
    <w:name w:val="Commentaire Car"/>
    <w:basedOn w:val="Policepardfaut"/>
    <w:link w:val="Commentaire"/>
    <w:uiPriority w:val="99"/>
    <w:semiHidden/>
    <w:rsid w:val="00946BA4"/>
    <w:rPr>
      <w:sz w:val="20"/>
      <w:szCs w:val="20"/>
    </w:rPr>
  </w:style>
  <w:style w:type="paragraph" w:styleId="Objetducommentaire">
    <w:name w:val="annotation subject"/>
    <w:basedOn w:val="Commentaire"/>
    <w:next w:val="Commentaire"/>
    <w:link w:val="ObjetducommentaireCar"/>
    <w:uiPriority w:val="99"/>
    <w:semiHidden/>
    <w:unhideWhenUsed/>
    <w:rsid w:val="00946BA4"/>
    <w:rPr>
      <w:b/>
      <w:bCs/>
    </w:rPr>
  </w:style>
  <w:style w:type="character" w:customStyle="1" w:styleId="ObjetducommentaireCar">
    <w:name w:val="Objet du commentaire Car"/>
    <w:basedOn w:val="CommentaireCar"/>
    <w:link w:val="Objetducommentaire"/>
    <w:uiPriority w:val="99"/>
    <w:semiHidden/>
    <w:rsid w:val="00946B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81787">
      <w:bodyDiv w:val="1"/>
      <w:marLeft w:val="0"/>
      <w:marRight w:val="0"/>
      <w:marTop w:val="0"/>
      <w:marBottom w:val="0"/>
      <w:divBdr>
        <w:top w:val="none" w:sz="0" w:space="0" w:color="auto"/>
        <w:left w:val="none" w:sz="0" w:space="0" w:color="auto"/>
        <w:bottom w:val="none" w:sz="0" w:space="0" w:color="auto"/>
        <w:right w:val="none" w:sz="0" w:space="0" w:color="auto"/>
      </w:divBdr>
    </w:div>
    <w:div w:id="2075620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4285</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AfHEA</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Ndiaye</dc:creator>
  <cp:lastModifiedBy>Pascal Ndiaye</cp:lastModifiedBy>
  <cp:revision>3</cp:revision>
  <dcterms:created xsi:type="dcterms:W3CDTF">2016-03-31T22:36:00Z</dcterms:created>
  <dcterms:modified xsi:type="dcterms:W3CDTF">2016-03-31T22:37:00Z</dcterms:modified>
</cp:coreProperties>
</file>